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0B95" w:rsidRDefault="00F04FF8" w:rsidP="00F04FF8">
      <w:pPr>
        <w:ind w:firstLine="0"/>
        <w:jc w:val="right"/>
        <w:rPr>
          <w:rFonts w:ascii="Times New Roman" w:hAnsi="Times New Roman" w:cs="Times New Roman"/>
          <w:b/>
          <w:u w:val="single"/>
        </w:rPr>
      </w:pPr>
      <w:r w:rsidRPr="00C85577">
        <w:rPr>
          <w:rFonts w:ascii="Times New Roman" w:hAnsi="Times New Roman" w:cs="Times New Roman"/>
          <w:b/>
          <w:u w:val="single"/>
        </w:rPr>
        <w:t xml:space="preserve">Załącznik </w:t>
      </w:r>
      <w:r w:rsidR="008E671D">
        <w:rPr>
          <w:rFonts w:ascii="Times New Roman" w:hAnsi="Times New Roman" w:cs="Times New Roman"/>
          <w:b/>
          <w:u w:val="single"/>
        </w:rPr>
        <w:t>nr 2</w:t>
      </w:r>
      <w:r w:rsidR="00B67B2F">
        <w:rPr>
          <w:rFonts w:ascii="Times New Roman" w:hAnsi="Times New Roman" w:cs="Times New Roman"/>
          <w:b/>
          <w:u w:val="single"/>
        </w:rPr>
        <w:t xml:space="preserve"> </w:t>
      </w:r>
      <w:r w:rsidR="00DD6011" w:rsidRPr="00C85577">
        <w:rPr>
          <w:rFonts w:ascii="Times New Roman" w:hAnsi="Times New Roman" w:cs="Times New Roman"/>
          <w:b/>
          <w:u w:val="single"/>
        </w:rPr>
        <w:t>do OSR</w:t>
      </w:r>
    </w:p>
    <w:p w:rsidR="00C0409C" w:rsidRPr="00C85577" w:rsidRDefault="00C0409C" w:rsidP="00F04FF8">
      <w:pPr>
        <w:ind w:firstLine="0"/>
        <w:jc w:val="right"/>
        <w:rPr>
          <w:rFonts w:ascii="Times New Roman" w:hAnsi="Times New Roman" w:cs="Times New Roman"/>
          <w:b/>
          <w:u w:val="single"/>
        </w:rPr>
      </w:pPr>
    </w:p>
    <w:p w:rsidR="00F04FF8" w:rsidRPr="00F21052" w:rsidRDefault="00C1052F" w:rsidP="00F21052">
      <w:pPr>
        <w:ind w:firstLine="0"/>
        <w:jc w:val="center"/>
        <w:rPr>
          <w:rFonts w:ascii="Times New Roman" w:hAnsi="Times New Roman" w:cs="Times New Roman"/>
          <w:b/>
          <w:sz w:val="24"/>
          <w:szCs w:val="24"/>
          <w:u w:val="single"/>
        </w:rPr>
      </w:pPr>
      <w:r w:rsidRPr="00F21052">
        <w:rPr>
          <w:rFonts w:ascii="Times New Roman" w:eastAsia="Calibri" w:hAnsi="Times New Roman" w:cs="Times New Roman"/>
          <w:b/>
          <w:spacing w:val="-2"/>
          <w:sz w:val="24"/>
          <w:szCs w:val="24"/>
        </w:rPr>
        <w:t xml:space="preserve">Wykaz nowych zadań Prezesa ULC oraz PAŻP w związku z obowiązkami określonymi </w:t>
      </w:r>
      <w:r w:rsidR="00C0409C">
        <w:rPr>
          <w:rFonts w:ascii="Times New Roman" w:eastAsia="Calibri" w:hAnsi="Times New Roman" w:cs="Times New Roman"/>
          <w:b/>
          <w:spacing w:val="-2"/>
          <w:sz w:val="24"/>
          <w:szCs w:val="24"/>
        </w:rPr>
        <w:br/>
      </w:r>
      <w:r w:rsidRPr="00F21052">
        <w:rPr>
          <w:rFonts w:ascii="Times New Roman" w:eastAsia="Calibri" w:hAnsi="Times New Roman" w:cs="Times New Roman"/>
          <w:b/>
          <w:spacing w:val="-2"/>
          <w:sz w:val="24"/>
          <w:szCs w:val="24"/>
        </w:rPr>
        <w:t>w rozporządzeniu delegowanym i rozporządzeniu wykonawczym</w:t>
      </w:r>
    </w:p>
    <w:tbl>
      <w:tblPr>
        <w:tblStyle w:val="Tabela-Siatka"/>
        <w:tblW w:w="5921" w:type="pct"/>
        <w:tblInd w:w="-998" w:type="dxa"/>
        <w:tblLook w:val="04A0" w:firstRow="1" w:lastRow="0" w:firstColumn="1" w:lastColumn="0" w:noHBand="0" w:noVBand="1"/>
      </w:tblPr>
      <w:tblGrid>
        <w:gridCol w:w="734"/>
        <w:gridCol w:w="807"/>
        <w:gridCol w:w="5293"/>
        <w:gridCol w:w="1882"/>
        <w:gridCol w:w="2015"/>
      </w:tblGrid>
      <w:tr w:rsidR="00F04FF8" w:rsidRPr="00C85577" w:rsidTr="00F04FF8">
        <w:tc>
          <w:tcPr>
            <w:tcW w:w="342" w:type="pct"/>
            <w:shd w:val="clear" w:color="auto" w:fill="8DB3E2" w:themeFill="text2" w:themeFillTint="66"/>
            <w:vAlign w:val="center"/>
          </w:tcPr>
          <w:p w:rsidR="00F04FF8" w:rsidRPr="00C85577" w:rsidRDefault="00F04FF8" w:rsidP="005F0D77">
            <w:pPr>
              <w:ind w:firstLine="0"/>
              <w:jc w:val="center"/>
              <w:rPr>
                <w:rFonts w:ascii="Times New Roman" w:hAnsi="Times New Roman" w:cs="Times New Roman"/>
                <w:b/>
                <w:sz w:val="20"/>
              </w:rPr>
            </w:pPr>
            <w:r w:rsidRPr="00C85577">
              <w:rPr>
                <w:rFonts w:ascii="Times New Roman" w:hAnsi="Times New Roman" w:cs="Times New Roman"/>
                <w:b/>
                <w:sz w:val="20"/>
              </w:rPr>
              <w:t>Lp.</w:t>
            </w:r>
          </w:p>
        </w:tc>
        <w:tc>
          <w:tcPr>
            <w:tcW w:w="376" w:type="pct"/>
            <w:shd w:val="clear" w:color="auto" w:fill="8DB3E2" w:themeFill="text2" w:themeFillTint="66"/>
          </w:tcPr>
          <w:p w:rsidR="00F04FF8" w:rsidRPr="00C85577" w:rsidRDefault="00F04FF8" w:rsidP="00D930C2">
            <w:pPr>
              <w:ind w:firstLine="0"/>
              <w:jc w:val="center"/>
              <w:rPr>
                <w:rFonts w:ascii="Times New Roman" w:hAnsi="Times New Roman" w:cs="Times New Roman"/>
                <w:b/>
                <w:sz w:val="20"/>
              </w:rPr>
            </w:pPr>
          </w:p>
          <w:p w:rsidR="00F04FF8" w:rsidRPr="00C85577" w:rsidRDefault="00F04FF8" w:rsidP="00D930C2">
            <w:pPr>
              <w:ind w:firstLine="0"/>
              <w:jc w:val="center"/>
              <w:rPr>
                <w:rFonts w:ascii="Times New Roman" w:hAnsi="Times New Roman" w:cs="Times New Roman"/>
                <w:b/>
                <w:sz w:val="20"/>
              </w:rPr>
            </w:pPr>
          </w:p>
          <w:p w:rsidR="00F04FF8" w:rsidRPr="00C85577" w:rsidRDefault="00F04FF8" w:rsidP="00F04FF8">
            <w:pPr>
              <w:ind w:firstLine="0"/>
              <w:jc w:val="center"/>
              <w:rPr>
                <w:rFonts w:ascii="Times New Roman" w:hAnsi="Times New Roman" w:cs="Times New Roman"/>
                <w:b/>
                <w:sz w:val="20"/>
              </w:rPr>
            </w:pPr>
            <w:r w:rsidRPr="00C85577">
              <w:rPr>
                <w:rFonts w:ascii="Times New Roman" w:hAnsi="Times New Roman" w:cs="Times New Roman"/>
                <w:b/>
                <w:sz w:val="20"/>
              </w:rPr>
              <w:t>Organ</w:t>
            </w:r>
          </w:p>
        </w:tc>
        <w:tc>
          <w:tcPr>
            <w:tcW w:w="2466" w:type="pct"/>
            <w:shd w:val="clear" w:color="auto" w:fill="8DB3E2" w:themeFill="text2" w:themeFillTint="66"/>
            <w:vAlign w:val="center"/>
          </w:tcPr>
          <w:p w:rsidR="00F04FF8" w:rsidRPr="00C85577" w:rsidRDefault="00F04FF8" w:rsidP="00D930C2">
            <w:pPr>
              <w:ind w:firstLine="0"/>
              <w:jc w:val="center"/>
              <w:rPr>
                <w:rFonts w:ascii="Times New Roman" w:hAnsi="Times New Roman" w:cs="Times New Roman"/>
                <w:b/>
                <w:sz w:val="20"/>
              </w:rPr>
            </w:pPr>
            <w:r w:rsidRPr="00C85577">
              <w:rPr>
                <w:rFonts w:ascii="Times New Roman" w:hAnsi="Times New Roman" w:cs="Times New Roman"/>
                <w:b/>
                <w:sz w:val="20"/>
              </w:rPr>
              <w:t xml:space="preserve">Zadania organu </w:t>
            </w:r>
          </w:p>
        </w:tc>
        <w:tc>
          <w:tcPr>
            <w:tcW w:w="877" w:type="pct"/>
            <w:shd w:val="clear" w:color="auto" w:fill="8DB3E2" w:themeFill="text2" w:themeFillTint="66"/>
            <w:vAlign w:val="center"/>
          </w:tcPr>
          <w:p w:rsidR="00F04FF8" w:rsidRPr="00C85577" w:rsidRDefault="00F04FF8" w:rsidP="00032BCE">
            <w:pPr>
              <w:ind w:firstLine="0"/>
              <w:jc w:val="center"/>
              <w:rPr>
                <w:rFonts w:ascii="Times New Roman" w:hAnsi="Times New Roman" w:cs="Times New Roman"/>
                <w:b/>
                <w:sz w:val="20"/>
              </w:rPr>
            </w:pPr>
            <w:r w:rsidRPr="00C85577">
              <w:rPr>
                <w:rFonts w:ascii="Times New Roman" w:hAnsi="Times New Roman" w:cs="Times New Roman"/>
                <w:b/>
                <w:sz w:val="20"/>
              </w:rPr>
              <w:t>Data włączenia nowego zadania</w:t>
            </w:r>
          </w:p>
        </w:tc>
        <w:tc>
          <w:tcPr>
            <w:tcW w:w="939" w:type="pct"/>
            <w:shd w:val="clear" w:color="auto" w:fill="8DB3E2" w:themeFill="text2" w:themeFillTint="66"/>
            <w:vAlign w:val="center"/>
          </w:tcPr>
          <w:p w:rsidR="00F04FF8" w:rsidRPr="00C85577" w:rsidRDefault="00F04FF8" w:rsidP="00FC0B95">
            <w:pPr>
              <w:ind w:firstLine="0"/>
              <w:jc w:val="center"/>
              <w:rPr>
                <w:rFonts w:ascii="Times New Roman" w:hAnsi="Times New Roman" w:cs="Times New Roman"/>
                <w:b/>
                <w:sz w:val="20"/>
              </w:rPr>
            </w:pPr>
            <w:r w:rsidRPr="00C85577">
              <w:rPr>
                <w:rFonts w:ascii="Times New Roman" w:hAnsi="Times New Roman" w:cs="Times New Roman"/>
                <w:b/>
                <w:sz w:val="20"/>
              </w:rPr>
              <w:t>Podstawa prawna nakładająca nowy obowiązek</w:t>
            </w:r>
          </w:p>
          <w:p w:rsidR="00F04FF8" w:rsidRPr="00C85577" w:rsidRDefault="00F04FF8" w:rsidP="00E67D47">
            <w:pPr>
              <w:ind w:firstLine="0"/>
              <w:jc w:val="center"/>
              <w:rPr>
                <w:rFonts w:ascii="Times New Roman" w:hAnsi="Times New Roman" w:cs="Times New Roman"/>
                <w:b/>
                <w:sz w:val="20"/>
              </w:rPr>
            </w:pPr>
            <w:r w:rsidRPr="00C85577">
              <w:rPr>
                <w:rFonts w:ascii="Times New Roman" w:hAnsi="Times New Roman" w:cs="Times New Roman"/>
                <w:b/>
                <w:sz w:val="20"/>
              </w:rPr>
              <w:t>(tytuł aktu prawnego oraz art. lub §)</w:t>
            </w:r>
          </w:p>
        </w:tc>
      </w:tr>
      <w:tr w:rsidR="00F04FF8" w:rsidRPr="00C85577" w:rsidTr="00F04FF8">
        <w:tc>
          <w:tcPr>
            <w:tcW w:w="342" w:type="pct"/>
          </w:tcPr>
          <w:p w:rsidR="00F04FF8" w:rsidRPr="00C85577" w:rsidRDefault="00F04FF8" w:rsidP="001E5F58">
            <w:pPr>
              <w:pStyle w:val="Akapitzlist"/>
              <w:numPr>
                <w:ilvl w:val="0"/>
                <w:numId w:val="7"/>
              </w:numPr>
              <w:rPr>
                <w:rFonts w:ascii="Times New Roman" w:hAnsi="Times New Roman" w:cs="Times New Roman"/>
                <w:sz w:val="20"/>
              </w:rPr>
            </w:pPr>
          </w:p>
        </w:tc>
        <w:tc>
          <w:tcPr>
            <w:tcW w:w="376" w:type="pct"/>
          </w:tcPr>
          <w:p w:rsidR="00F04FF8" w:rsidRPr="00C85577" w:rsidRDefault="00F04FF8" w:rsidP="00317A6D">
            <w:pPr>
              <w:ind w:firstLine="0"/>
              <w:rPr>
                <w:rFonts w:ascii="Times New Roman" w:hAnsi="Times New Roman" w:cs="Times New Roman"/>
                <w:sz w:val="20"/>
              </w:rPr>
            </w:pPr>
            <w:r w:rsidRPr="00C85577">
              <w:rPr>
                <w:rFonts w:ascii="Times New Roman" w:hAnsi="Times New Roman" w:cs="Times New Roman"/>
                <w:sz w:val="20"/>
              </w:rPr>
              <w:t>Prezes ULC</w:t>
            </w:r>
          </w:p>
        </w:tc>
        <w:tc>
          <w:tcPr>
            <w:tcW w:w="2466" w:type="pct"/>
          </w:tcPr>
          <w:p w:rsidR="00F04FF8" w:rsidRPr="00C85577" w:rsidRDefault="00F04FF8" w:rsidP="00317A6D">
            <w:pPr>
              <w:ind w:firstLine="0"/>
              <w:rPr>
                <w:rFonts w:ascii="Times New Roman" w:hAnsi="Times New Roman" w:cs="Times New Roman"/>
                <w:sz w:val="20"/>
              </w:rPr>
            </w:pPr>
            <w:r w:rsidRPr="00C85577">
              <w:rPr>
                <w:rFonts w:ascii="Times New Roman" w:hAnsi="Times New Roman" w:cs="Times New Roman"/>
                <w:sz w:val="20"/>
              </w:rPr>
              <w:t>Egzekwowanie przepisów rozporządzenia 2019/947.</w:t>
            </w:r>
          </w:p>
        </w:tc>
        <w:tc>
          <w:tcPr>
            <w:tcW w:w="877" w:type="pct"/>
          </w:tcPr>
          <w:p w:rsidR="00F04FF8" w:rsidRPr="00C85577" w:rsidRDefault="00F04FF8" w:rsidP="00317A6D">
            <w:pPr>
              <w:ind w:firstLine="0"/>
              <w:rPr>
                <w:rFonts w:ascii="Times New Roman" w:hAnsi="Times New Roman" w:cs="Times New Roman"/>
              </w:rPr>
            </w:pPr>
            <w:r w:rsidRPr="00C85577">
              <w:rPr>
                <w:rFonts w:ascii="Times New Roman" w:hAnsi="Times New Roman" w:cs="Times New Roman"/>
                <w:sz w:val="20"/>
              </w:rPr>
              <w:t>31.12.2020 r.</w:t>
            </w:r>
          </w:p>
        </w:tc>
        <w:tc>
          <w:tcPr>
            <w:tcW w:w="939" w:type="pct"/>
          </w:tcPr>
          <w:p w:rsidR="00F04FF8" w:rsidRPr="00C85577" w:rsidRDefault="00F04FF8" w:rsidP="00F35A87">
            <w:pPr>
              <w:ind w:firstLine="0"/>
              <w:rPr>
                <w:rFonts w:ascii="Times New Roman" w:hAnsi="Times New Roman" w:cs="Times New Roman"/>
                <w:sz w:val="20"/>
              </w:rPr>
            </w:pPr>
            <w:r w:rsidRPr="00C85577">
              <w:rPr>
                <w:rFonts w:ascii="Times New Roman" w:hAnsi="Times New Roman" w:cs="Times New Roman"/>
                <w:sz w:val="20"/>
              </w:rPr>
              <w:t>art. 18 lit. a rozporządzenia 2019/947</w:t>
            </w:r>
          </w:p>
        </w:tc>
      </w:tr>
      <w:tr w:rsidR="00F04FF8" w:rsidRPr="00C85577" w:rsidTr="00F04FF8">
        <w:tc>
          <w:tcPr>
            <w:tcW w:w="342" w:type="pct"/>
          </w:tcPr>
          <w:p w:rsidR="00F04FF8" w:rsidRPr="00C85577" w:rsidRDefault="00F04FF8" w:rsidP="001E5F58">
            <w:pPr>
              <w:pStyle w:val="Akapitzlist"/>
              <w:numPr>
                <w:ilvl w:val="0"/>
                <w:numId w:val="7"/>
              </w:numPr>
              <w:rPr>
                <w:rFonts w:ascii="Times New Roman" w:hAnsi="Times New Roman" w:cs="Times New Roman"/>
                <w:sz w:val="20"/>
              </w:rPr>
            </w:pPr>
          </w:p>
        </w:tc>
        <w:tc>
          <w:tcPr>
            <w:tcW w:w="376" w:type="pct"/>
          </w:tcPr>
          <w:p w:rsidR="00F04FF8" w:rsidRPr="00C85577" w:rsidRDefault="00F04FF8" w:rsidP="00317A6D">
            <w:pPr>
              <w:ind w:firstLine="0"/>
              <w:rPr>
                <w:rFonts w:ascii="Times New Roman" w:hAnsi="Times New Roman" w:cs="Times New Roman"/>
                <w:sz w:val="20"/>
              </w:rPr>
            </w:pPr>
            <w:r w:rsidRPr="00C85577">
              <w:rPr>
                <w:rFonts w:ascii="Times New Roman" w:hAnsi="Times New Roman" w:cs="Times New Roman"/>
                <w:sz w:val="20"/>
              </w:rPr>
              <w:t>Prezes ULC</w:t>
            </w:r>
          </w:p>
        </w:tc>
        <w:tc>
          <w:tcPr>
            <w:tcW w:w="2466" w:type="pct"/>
          </w:tcPr>
          <w:p w:rsidR="00F04FF8" w:rsidRPr="00C85577" w:rsidRDefault="00F04FF8" w:rsidP="008C3710">
            <w:pPr>
              <w:ind w:firstLine="0"/>
              <w:rPr>
                <w:rFonts w:ascii="Times New Roman" w:hAnsi="Times New Roman" w:cs="Times New Roman"/>
                <w:sz w:val="20"/>
              </w:rPr>
            </w:pPr>
            <w:r w:rsidRPr="00C85577">
              <w:rPr>
                <w:rFonts w:ascii="Times New Roman" w:hAnsi="Times New Roman" w:cs="Times New Roman"/>
                <w:sz w:val="20"/>
              </w:rPr>
              <w:t>Wydawanie, zawieszanie lub cofanie certyfikatów operatorów systemów bezzałogowych statków powietrznych oraz licencji pilotów bezzałogowych statków powietrznych wykonujących operacje z użyciem systemów bezzałogowych statków powietrznych w kategorii „otwartej”.</w:t>
            </w:r>
          </w:p>
        </w:tc>
        <w:tc>
          <w:tcPr>
            <w:tcW w:w="877" w:type="pct"/>
          </w:tcPr>
          <w:p w:rsidR="00F04FF8" w:rsidRPr="00C85577" w:rsidRDefault="00F04FF8" w:rsidP="00317A6D">
            <w:pPr>
              <w:ind w:firstLine="0"/>
              <w:rPr>
                <w:rFonts w:ascii="Times New Roman" w:hAnsi="Times New Roman" w:cs="Times New Roman"/>
              </w:rPr>
            </w:pPr>
            <w:r w:rsidRPr="00C85577">
              <w:rPr>
                <w:rFonts w:ascii="Times New Roman" w:hAnsi="Times New Roman" w:cs="Times New Roman"/>
                <w:sz w:val="20"/>
              </w:rPr>
              <w:t>31.12.2020 r.</w:t>
            </w:r>
          </w:p>
        </w:tc>
        <w:tc>
          <w:tcPr>
            <w:tcW w:w="939" w:type="pct"/>
          </w:tcPr>
          <w:p w:rsidR="00F04FF8" w:rsidRPr="00C85577" w:rsidRDefault="00F04FF8" w:rsidP="00F35A87">
            <w:pPr>
              <w:ind w:firstLine="0"/>
              <w:rPr>
                <w:rFonts w:ascii="Times New Roman" w:hAnsi="Times New Roman" w:cs="Times New Roman"/>
                <w:sz w:val="20"/>
              </w:rPr>
            </w:pPr>
            <w:r w:rsidRPr="00C85577">
              <w:rPr>
                <w:rFonts w:ascii="Times New Roman" w:hAnsi="Times New Roman" w:cs="Times New Roman"/>
                <w:sz w:val="20"/>
              </w:rPr>
              <w:t>art. 18 lit. b rozporządzenia 2019/947</w:t>
            </w:r>
          </w:p>
        </w:tc>
      </w:tr>
      <w:tr w:rsidR="00F04FF8" w:rsidRPr="00C85577" w:rsidTr="00F04FF8">
        <w:tc>
          <w:tcPr>
            <w:tcW w:w="342" w:type="pct"/>
          </w:tcPr>
          <w:p w:rsidR="00F04FF8" w:rsidRPr="00C85577" w:rsidRDefault="00F04FF8" w:rsidP="001E5F58">
            <w:pPr>
              <w:pStyle w:val="Akapitzlist"/>
              <w:numPr>
                <w:ilvl w:val="0"/>
                <w:numId w:val="7"/>
              </w:numPr>
              <w:rPr>
                <w:rFonts w:ascii="Times New Roman" w:hAnsi="Times New Roman" w:cs="Times New Roman"/>
                <w:sz w:val="20"/>
              </w:rPr>
            </w:pPr>
          </w:p>
        </w:tc>
        <w:tc>
          <w:tcPr>
            <w:tcW w:w="376" w:type="pct"/>
          </w:tcPr>
          <w:p w:rsidR="00F04FF8" w:rsidRPr="00C85577" w:rsidRDefault="00F04FF8" w:rsidP="00317A6D">
            <w:pPr>
              <w:ind w:firstLine="0"/>
              <w:rPr>
                <w:rFonts w:ascii="Times New Roman" w:hAnsi="Times New Roman" w:cs="Times New Roman"/>
                <w:sz w:val="20"/>
              </w:rPr>
            </w:pPr>
            <w:r w:rsidRPr="00C85577">
              <w:rPr>
                <w:rFonts w:ascii="Times New Roman" w:hAnsi="Times New Roman" w:cs="Times New Roman"/>
                <w:sz w:val="20"/>
              </w:rPr>
              <w:t>Prezes ULC</w:t>
            </w:r>
          </w:p>
        </w:tc>
        <w:tc>
          <w:tcPr>
            <w:tcW w:w="2466" w:type="pct"/>
          </w:tcPr>
          <w:p w:rsidR="00F04FF8" w:rsidRPr="00C85577" w:rsidRDefault="00F04FF8" w:rsidP="00317A6D">
            <w:pPr>
              <w:ind w:firstLine="0"/>
              <w:rPr>
                <w:rFonts w:ascii="Times New Roman" w:hAnsi="Times New Roman" w:cs="Times New Roman"/>
                <w:sz w:val="20"/>
              </w:rPr>
            </w:pPr>
            <w:r w:rsidRPr="00C85577">
              <w:rPr>
                <w:rFonts w:ascii="Times New Roman" w:hAnsi="Times New Roman" w:cs="Times New Roman"/>
                <w:sz w:val="20"/>
              </w:rPr>
              <w:t>Wydawanie pilotom bezzałogowych statków powietrznych dowodu zaliczenia przeprowadzanego online egzaminu z wiedzy teoretycznej zgodnie z sekcjami UAS.OPEN.020 i UAS.OPEN.040 załącznika oraz wydawanie, zmienianie, zawieszanie, ograniczanie lub cofanie certyfikatów kompetencji pilota bezzałogowego statku powietrznego zgodnie z sekcją UAS.OPEN.030 załącznika do rozporządzenia 2019/947.</w:t>
            </w:r>
          </w:p>
        </w:tc>
        <w:tc>
          <w:tcPr>
            <w:tcW w:w="877" w:type="pct"/>
          </w:tcPr>
          <w:p w:rsidR="00F04FF8" w:rsidRPr="00C85577" w:rsidRDefault="00F04FF8" w:rsidP="00317A6D">
            <w:pPr>
              <w:ind w:firstLine="0"/>
              <w:rPr>
                <w:rFonts w:ascii="Times New Roman" w:hAnsi="Times New Roman" w:cs="Times New Roman"/>
              </w:rPr>
            </w:pPr>
            <w:r w:rsidRPr="00C85577">
              <w:rPr>
                <w:rFonts w:ascii="Times New Roman" w:hAnsi="Times New Roman" w:cs="Times New Roman"/>
                <w:sz w:val="20"/>
              </w:rPr>
              <w:t>31.12.2020 r.</w:t>
            </w:r>
          </w:p>
        </w:tc>
        <w:tc>
          <w:tcPr>
            <w:tcW w:w="939" w:type="pct"/>
          </w:tcPr>
          <w:p w:rsidR="00F04FF8" w:rsidRPr="00C85577" w:rsidRDefault="00F04FF8" w:rsidP="00F35A87">
            <w:pPr>
              <w:ind w:firstLine="0"/>
              <w:rPr>
                <w:rFonts w:ascii="Times New Roman" w:hAnsi="Times New Roman" w:cs="Times New Roman"/>
                <w:sz w:val="20"/>
              </w:rPr>
            </w:pPr>
            <w:r w:rsidRPr="00C85577">
              <w:rPr>
                <w:rFonts w:ascii="Times New Roman" w:hAnsi="Times New Roman" w:cs="Times New Roman"/>
                <w:sz w:val="20"/>
              </w:rPr>
              <w:t>art. 18 lit. c rozporządzenia 2019/947</w:t>
            </w:r>
          </w:p>
        </w:tc>
      </w:tr>
      <w:tr w:rsidR="00F04FF8" w:rsidRPr="00C85577" w:rsidTr="00F04FF8">
        <w:tc>
          <w:tcPr>
            <w:tcW w:w="342" w:type="pct"/>
          </w:tcPr>
          <w:p w:rsidR="00F04FF8" w:rsidRPr="00C85577" w:rsidRDefault="00F04FF8" w:rsidP="001E5F58">
            <w:pPr>
              <w:pStyle w:val="Akapitzlist"/>
              <w:numPr>
                <w:ilvl w:val="0"/>
                <w:numId w:val="7"/>
              </w:numPr>
              <w:rPr>
                <w:rFonts w:ascii="Times New Roman" w:hAnsi="Times New Roman" w:cs="Times New Roman"/>
                <w:sz w:val="20"/>
              </w:rPr>
            </w:pPr>
          </w:p>
        </w:tc>
        <w:tc>
          <w:tcPr>
            <w:tcW w:w="376" w:type="pct"/>
          </w:tcPr>
          <w:p w:rsidR="00F04FF8" w:rsidRPr="00C85577" w:rsidRDefault="00F04FF8" w:rsidP="00317A6D">
            <w:pPr>
              <w:ind w:firstLine="0"/>
              <w:rPr>
                <w:rFonts w:ascii="Times New Roman" w:hAnsi="Times New Roman" w:cs="Times New Roman"/>
                <w:sz w:val="20"/>
              </w:rPr>
            </w:pPr>
            <w:r w:rsidRPr="00C85577">
              <w:rPr>
                <w:rFonts w:ascii="Times New Roman" w:hAnsi="Times New Roman" w:cs="Times New Roman"/>
                <w:sz w:val="20"/>
              </w:rPr>
              <w:t>Prezes ULC</w:t>
            </w:r>
          </w:p>
        </w:tc>
        <w:tc>
          <w:tcPr>
            <w:tcW w:w="2466" w:type="pct"/>
          </w:tcPr>
          <w:p w:rsidR="00F04FF8" w:rsidRPr="00C85577" w:rsidRDefault="00F04FF8" w:rsidP="00317A6D">
            <w:pPr>
              <w:ind w:firstLine="0"/>
              <w:rPr>
                <w:rFonts w:ascii="Times New Roman" w:hAnsi="Times New Roman" w:cs="Times New Roman"/>
                <w:sz w:val="20"/>
              </w:rPr>
            </w:pPr>
            <w:r w:rsidRPr="00C85577">
              <w:rPr>
                <w:rFonts w:ascii="Times New Roman" w:hAnsi="Times New Roman" w:cs="Times New Roman"/>
                <w:sz w:val="20"/>
              </w:rPr>
              <w:t>Wydawanie, zmienianie, zawieszanie, ograniczanie lub cofanie zezwoleń na operację oraz certyfikatów LUC oraz weryfikowanie kompletności oświadczeń, które są wymagane do wykonywania operacji z użyciem systemów bezzałogowych statków powietrznych w kategorii „szczególnej”.</w:t>
            </w:r>
          </w:p>
        </w:tc>
        <w:tc>
          <w:tcPr>
            <w:tcW w:w="877" w:type="pct"/>
          </w:tcPr>
          <w:p w:rsidR="00F04FF8" w:rsidRPr="00C85577" w:rsidRDefault="00F04FF8" w:rsidP="00317A6D">
            <w:pPr>
              <w:ind w:firstLine="0"/>
              <w:rPr>
                <w:rFonts w:ascii="Times New Roman" w:hAnsi="Times New Roman" w:cs="Times New Roman"/>
              </w:rPr>
            </w:pPr>
            <w:r w:rsidRPr="00C85577">
              <w:rPr>
                <w:rFonts w:ascii="Times New Roman" w:hAnsi="Times New Roman" w:cs="Times New Roman"/>
                <w:sz w:val="20"/>
              </w:rPr>
              <w:t>31.12.2020 r.</w:t>
            </w:r>
          </w:p>
        </w:tc>
        <w:tc>
          <w:tcPr>
            <w:tcW w:w="939" w:type="pct"/>
          </w:tcPr>
          <w:p w:rsidR="00F04FF8" w:rsidRPr="00C85577" w:rsidRDefault="00F04FF8" w:rsidP="00F35A87">
            <w:pPr>
              <w:ind w:firstLine="0"/>
              <w:rPr>
                <w:rFonts w:ascii="Times New Roman" w:hAnsi="Times New Roman" w:cs="Times New Roman"/>
                <w:sz w:val="20"/>
              </w:rPr>
            </w:pPr>
            <w:r w:rsidRPr="00C85577">
              <w:rPr>
                <w:rFonts w:ascii="Times New Roman" w:hAnsi="Times New Roman" w:cs="Times New Roman"/>
                <w:sz w:val="20"/>
              </w:rPr>
              <w:t>art. 18 lit. d rozporządzenia 2019/947</w:t>
            </w:r>
          </w:p>
        </w:tc>
      </w:tr>
      <w:tr w:rsidR="00F04FF8" w:rsidRPr="00C85577" w:rsidTr="00F04FF8">
        <w:tc>
          <w:tcPr>
            <w:tcW w:w="342" w:type="pct"/>
          </w:tcPr>
          <w:p w:rsidR="00F04FF8" w:rsidRPr="00C85577" w:rsidRDefault="00F04FF8" w:rsidP="001E5F58">
            <w:pPr>
              <w:pStyle w:val="Akapitzlist"/>
              <w:numPr>
                <w:ilvl w:val="0"/>
                <w:numId w:val="7"/>
              </w:numPr>
              <w:rPr>
                <w:rFonts w:ascii="Times New Roman" w:hAnsi="Times New Roman" w:cs="Times New Roman"/>
                <w:sz w:val="20"/>
              </w:rPr>
            </w:pPr>
          </w:p>
        </w:tc>
        <w:tc>
          <w:tcPr>
            <w:tcW w:w="376" w:type="pct"/>
          </w:tcPr>
          <w:p w:rsidR="00F04FF8" w:rsidRPr="00C85577" w:rsidRDefault="00F04FF8" w:rsidP="00317A6D">
            <w:pPr>
              <w:ind w:firstLine="0"/>
              <w:rPr>
                <w:rFonts w:ascii="Times New Roman" w:hAnsi="Times New Roman" w:cs="Times New Roman"/>
                <w:sz w:val="20"/>
              </w:rPr>
            </w:pPr>
            <w:r w:rsidRPr="00C85577">
              <w:rPr>
                <w:rFonts w:ascii="Times New Roman" w:hAnsi="Times New Roman" w:cs="Times New Roman"/>
                <w:sz w:val="20"/>
              </w:rPr>
              <w:t>Prezes ULC</w:t>
            </w:r>
          </w:p>
        </w:tc>
        <w:tc>
          <w:tcPr>
            <w:tcW w:w="2466" w:type="pct"/>
          </w:tcPr>
          <w:p w:rsidR="00F04FF8" w:rsidRPr="00C85577" w:rsidRDefault="00F04FF8" w:rsidP="00317A6D">
            <w:pPr>
              <w:ind w:firstLine="0"/>
              <w:rPr>
                <w:rFonts w:ascii="Times New Roman" w:hAnsi="Times New Roman" w:cs="Times New Roman"/>
                <w:sz w:val="20"/>
              </w:rPr>
            </w:pPr>
            <w:r w:rsidRPr="00C85577">
              <w:rPr>
                <w:rFonts w:ascii="Times New Roman" w:hAnsi="Times New Roman" w:cs="Times New Roman"/>
                <w:sz w:val="20"/>
              </w:rPr>
              <w:t>Przechowywanie dokumentów, rejestrów i zgłoszeń dotyczących zezwoleń na operacje z użyciem systemów bezzałogowych statków powietrznych , oświadczeń, certyfikatów kompetencji pilotów bezzałogowych statków powietrznych oraz certyfikatów LUC.</w:t>
            </w:r>
          </w:p>
        </w:tc>
        <w:tc>
          <w:tcPr>
            <w:tcW w:w="877" w:type="pct"/>
          </w:tcPr>
          <w:p w:rsidR="00F04FF8" w:rsidRPr="00C85577" w:rsidRDefault="00F04FF8" w:rsidP="00317A6D">
            <w:pPr>
              <w:ind w:firstLine="0"/>
              <w:rPr>
                <w:rFonts w:ascii="Times New Roman" w:hAnsi="Times New Roman" w:cs="Times New Roman"/>
              </w:rPr>
            </w:pPr>
            <w:r w:rsidRPr="00C85577">
              <w:rPr>
                <w:rFonts w:ascii="Times New Roman" w:hAnsi="Times New Roman" w:cs="Times New Roman"/>
                <w:sz w:val="20"/>
              </w:rPr>
              <w:t>31.12.2020 r.</w:t>
            </w:r>
          </w:p>
        </w:tc>
        <w:tc>
          <w:tcPr>
            <w:tcW w:w="939" w:type="pct"/>
          </w:tcPr>
          <w:p w:rsidR="00F04FF8" w:rsidRPr="00C85577" w:rsidRDefault="00F04FF8" w:rsidP="00F35A87">
            <w:pPr>
              <w:ind w:firstLine="0"/>
              <w:rPr>
                <w:rFonts w:ascii="Times New Roman" w:hAnsi="Times New Roman" w:cs="Times New Roman"/>
                <w:sz w:val="20"/>
              </w:rPr>
            </w:pPr>
            <w:r w:rsidRPr="00C85577">
              <w:rPr>
                <w:rFonts w:ascii="Times New Roman" w:hAnsi="Times New Roman" w:cs="Times New Roman"/>
                <w:sz w:val="20"/>
              </w:rPr>
              <w:t>art. 18 lit. e rozporządzenia 2019/947</w:t>
            </w:r>
          </w:p>
        </w:tc>
      </w:tr>
      <w:tr w:rsidR="00F04FF8" w:rsidRPr="00C85577" w:rsidTr="00F04FF8">
        <w:tc>
          <w:tcPr>
            <w:tcW w:w="342" w:type="pct"/>
          </w:tcPr>
          <w:p w:rsidR="00F04FF8" w:rsidRPr="00C85577" w:rsidRDefault="00F04FF8" w:rsidP="003A52B3">
            <w:pPr>
              <w:pStyle w:val="Akapitzlist"/>
              <w:numPr>
                <w:ilvl w:val="0"/>
                <w:numId w:val="7"/>
              </w:numPr>
              <w:rPr>
                <w:rFonts w:ascii="Times New Roman" w:hAnsi="Times New Roman" w:cs="Times New Roman"/>
                <w:sz w:val="20"/>
              </w:rPr>
            </w:pPr>
          </w:p>
        </w:tc>
        <w:tc>
          <w:tcPr>
            <w:tcW w:w="37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PAŻP</w:t>
            </w:r>
          </w:p>
        </w:tc>
        <w:tc>
          <w:tcPr>
            <w:tcW w:w="2466" w:type="pct"/>
          </w:tcPr>
          <w:p w:rsidR="00F04FF8" w:rsidRPr="00C85577" w:rsidRDefault="00DD6011" w:rsidP="003A52B3">
            <w:pPr>
              <w:ind w:firstLine="0"/>
              <w:rPr>
                <w:rFonts w:ascii="Times New Roman" w:hAnsi="Times New Roman" w:cs="Times New Roman"/>
                <w:sz w:val="20"/>
              </w:rPr>
            </w:pPr>
            <w:r w:rsidRPr="00C85577">
              <w:rPr>
                <w:rFonts w:ascii="Times New Roman" w:hAnsi="Times New Roman" w:cs="Times New Roman"/>
                <w:sz w:val="20"/>
              </w:rPr>
              <w:t>U</w:t>
            </w:r>
            <w:r w:rsidR="00F04FF8" w:rsidRPr="00C85577">
              <w:rPr>
                <w:rFonts w:ascii="Times New Roman" w:hAnsi="Times New Roman" w:cs="Times New Roman"/>
                <w:sz w:val="20"/>
              </w:rPr>
              <w:t>dostępnianie – we wspólnym unikalnym formacie cyfrowym – informacji na temat stref geograficznych dla systemów bezzałogowych statków powietrznych wskazanych przez państwa członkowskie i wyznaczonych w granicach krajowej przestr</w:t>
            </w:r>
            <w:r w:rsidR="008C152B">
              <w:rPr>
                <w:rFonts w:ascii="Times New Roman" w:hAnsi="Times New Roman" w:cs="Times New Roman"/>
                <w:sz w:val="20"/>
              </w:rPr>
              <w:t>zeni powietrznej danego państwa.</w:t>
            </w:r>
            <w:bookmarkStart w:id="0" w:name="_GoBack"/>
            <w:bookmarkEnd w:id="0"/>
          </w:p>
        </w:tc>
        <w:tc>
          <w:tcPr>
            <w:tcW w:w="877" w:type="pct"/>
          </w:tcPr>
          <w:p w:rsidR="00F04FF8" w:rsidRPr="00C85577" w:rsidRDefault="00F04FF8" w:rsidP="003A52B3">
            <w:pPr>
              <w:ind w:firstLine="0"/>
              <w:rPr>
                <w:rFonts w:ascii="Times New Roman" w:hAnsi="Times New Roman" w:cs="Times New Roman"/>
                <w:sz w:val="20"/>
              </w:rPr>
            </w:pPr>
          </w:p>
        </w:tc>
        <w:tc>
          <w:tcPr>
            <w:tcW w:w="939"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art. 18 lit. f rozporządzenia 2019/947</w:t>
            </w:r>
          </w:p>
        </w:tc>
      </w:tr>
      <w:tr w:rsidR="00F04FF8" w:rsidRPr="00C85577" w:rsidTr="00F04FF8">
        <w:tc>
          <w:tcPr>
            <w:tcW w:w="342" w:type="pct"/>
          </w:tcPr>
          <w:p w:rsidR="00F04FF8" w:rsidRPr="00C85577" w:rsidRDefault="00F04FF8" w:rsidP="003A52B3">
            <w:pPr>
              <w:pStyle w:val="Akapitzlist"/>
              <w:numPr>
                <w:ilvl w:val="0"/>
                <w:numId w:val="7"/>
              </w:numPr>
              <w:rPr>
                <w:rFonts w:ascii="Times New Roman" w:hAnsi="Times New Roman" w:cs="Times New Roman"/>
                <w:sz w:val="20"/>
              </w:rPr>
            </w:pPr>
          </w:p>
        </w:tc>
        <w:tc>
          <w:tcPr>
            <w:tcW w:w="37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Prezes ULC</w:t>
            </w:r>
          </w:p>
        </w:tc>
        <w:tc>
          <w:tcPr>
            <w:tcW w:w="246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Wydawanie potwierdzenia odbioru i kompletności oświadczenia o operacjach zgodnych scenariuszem standardowym lub potwierdzenia, że zaktualizowane środki ograniczające ryzyko są zadowalające w odniesieniu do operacji transgranicznej lub operacji poza granicami państwa rejestracji</w:t>
            </w:r>
            <w:r w:rsidR="008C152B">
              <w:rPr>
                <w:rFonts w:ascii="Times New Roman" w:hAnsi="Times New Roman" w:cs="Times New Roman"/>
                <w:sz w:val="20"/>
              </w:rPr>
              <w:t>.</w:t>
            </w:r>
          </w:p>
        </w:tc>
        <w:tc>
          <w:tcPr>
            <w:tcW w:w="877" w:type="pct"/>
          </w:tcPr>
          <w:p w:rsidR="00F04FF8" w:rsidRPr="00C85577" w:rsidRDefault="00F04FF8" w:rsidP="003A52B3">
            <w:pPr>
              <w:ind w:firstLine="0"/>
              <w:rPr>
                <w:rFonts w:ascii="Times New Roman" w:hAnsi="Times New Roman" w:cs="Times New Roman"/>
              </w:rPr>
            </w:pPr>
            <w:r w:rsidRPr="00C85577">
              <w:rPr>
                <w:rFonts w:ascii="Times New Roman" w:hAnsi="Times New Roman" w:cs="Times New Roman"/>
                <w:sz w:val="20"/>
              </w:rPr>
              <w:t>31.12.2020 r.</w:t>
            </w:r>
          </w:p>
        </w:tc>
        <w:tc>
          <w:tcPr>
            <w:tcW w:w="939"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art. 18 lit. g rozporządzenia 2019/947</w:t>
            </w:r>
          </w:p>
        </w:tc>
      </w:tr>
      <w:tr w:rsidR="00F04FF8" w:rsidRPr="00C85577" w:rsidTr="00F04FF8">
        <w:tc>
          <w:tcPr>
            <w:tcW w:w="342" w:type="pct"/>
          </w:tcPr>
          <w:p w:rsidR="00F04FF8" w:rsidRPr="00C85577" w:rsidRDefault="00F04FF8" w:rsidP="003A52B3">
            <w:pPr>
              <w:pStyle w:val="Akapitzlist"/>
              <w:numPr>
                <w:ilvl w:val="0"/>
                <w:numId w:val="7"/>
              </w:numPr>
              <w:rPr>
                <w:rFonts w:ascii="Times New Roman" w:hAnsi="Times New Roman" w:cs="Times New Roman"/>
                <w:sz w:val="20"/>
              </w:rPr>
            </w:pPr>
          </w:p>
        </w:tc>
        <w:tc>
          <w:tcPr>
            <w:tcW w:w="37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Prezes ULC</w:t>
            </w:r>
          </w:p>
        </w:tc>
        <w:tc>
          <w:tcPr>
            <w:tcW w:w="246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Opracowywanie opartego na analizie ryzyka systemu nadzoru nad:</w:t>
            </w:r>
          </w:p>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(i)  operatorami systemów bezzałogowych statków powietrznych , którzy złożyli oświadczenie bądź posiadają zezwolenie na operację lub certyfikat LUC;</w:t>
            </w:r>
          </w:p>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(ii)  klubami i stowarzyszeniami modelarstwa lotniczego, które posiadają zezwolenie, o którym mowa w art. 16 rozporządzenia 2019/947.</w:t>
            </w:r>
          </w:p>
        </w:tc>
        <w:tc>
          <w:tcPr>
            <w:tcW w:w="877"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31.12.2020 r.</w:t>
            </w:r>
          </w:p>
        </w:tc>
        <w:tc>
          <w:tcPr>
            <w:tcW w:w="939"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art. 18 lit. h rozporządzenia 2019/947</w:t>
            </w:r>
          </w:p>
        </w:tc>
      </w:tr>
      <w:tr w:rsidR="00F04FF8" w:rsidRPr="00C85577" w:rsidTr="00F04FF8">
        <w:tc>
          <w:tcPr>
            <w:tcW w:w="342" w:type="pct"/>
          </w:tcPr>
          <w:p w:rsidR="00F04FF8" w:rsidRPr="00C85577" w:rsidRDefault="00F04FF8" w:rsidP="003A52B3">
            <w:pPr>
              <w:pStyle w:val="Akapitzlist"/>
              <w:numPr>
                <w:ilvl w:val="0"/>
                <w:numId w:val="7"/>
              </w:numPr>
              <w:rPr>
                <w:rFonts w:ascii="Times New Roman" w:hAnsi="Times New Roman" w:cs="Times New Roman"/>
                <w:sz w:val="20"/>
              </w:rPr>
            </w:pPr>
          </w:p>
        </w:tc>
        <w:tc>
          <w:tcPr>
            <w:tcW w:w="37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Prezes ULC</w:t>
            </w:r>
          </w:p>
        </w:tc>
        <w:tc>
          <w:tcPr>
            <w:tcW w:w="2466" w:type="pct"/>
          </w:tcPr>
          <w:p w:rsidR="00F04FF8" w:rsidRPr="00C85577" w:rsidRDefault="00F04FF8" w:rsidP="008C152B">
            <w:pPr>
              <w:ind w:firstLine="0"/>
              <w:rPr>
                <w:rFonts w:ascii="Times New Roman" w:hAnsi="Times New Roman" w:cs="Times New Roman"/>
                <w:sz w:val="20"/>
              </w:rPr>
            </w:pPr>
            <w:r w:rsidRPr="00C85577">
              <w:rPr>
                <w:rFonts w:ascii="Times New Roman" w:hAnsi="Times New Roman" w:cs="Times New Roman"/>
                <w:sz w:val="20"/>
              </w:rPr>
              <w:t xml:space="preserve">W odniesieniu do operacji innych niż wykonywane w kategorii „otwartej” – ustanowienie planu audytu w oparciu o profil ryzyka, poziom zgodności z przepisami i wyniki pod względem bezpieczeństwa operatorów systemów </w:t>
            </w:r>
            <w:r w:rsidRPr="00C85577">
              <w:rPr>
                <w:rFonts w:ascii="Times New Roman" w:hAnsi="Times New Roman" w:cs="Times New Roman"/>
                <w:sz w:val="20"/>
              </w:rPr>
              <w:lastRenderedPageBreak/>
              <w:t>bezzałogowych statków powietrznych, którzy złożyli oświadczenie lub posiadają certyfikat wydany przez właściwy organ.</w:t>
            </w:r>
          </w:p>
        </w:tc>
        <w:tc>
          <w:tcPr>
            <w:tcW w:w="877"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lastRenderedPageBreak/>
              <w:t>31.12.2020 r.</w:t>
            </w:r>
          </w:p>
        </w:tc>
        <w:tc>
          <w:tcPr>
            <w:tcW w:w="939"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art. 18 lit. i rozporządzenia 2019/947</w:t>
            </w:r>
          </w:p>
        </w:tc>
      </w:tr>
      <w:tr w:rsidR="00F04FF8" w:rsidRPr="00C85577" w:rsidTr="00F04FF8">
        <w:tc>
          <w:tcPr>
            <w:tcW w:w="342" w:type="pct"/>
          </w:tcPr>
          <w:p w:rsidR="00F04FF8" w:rsidRPr="00C85577" w:rsidRDefault="00F04FF8" w:rsidP="003A52B3">
            <w:pPr>
              <w:pStyle w:val="Akapitzlist"/>
              <w:numPr>
                <w:ilvl w:val="0"/>
                <w:numId w:val="7"/>
              </w:numPr>
              <w:rPr>
                <w:rFonts w:ascii="Times New Roman" w:hAnsi="Times New Roman" w:cs="Times New Roman"/>
                <w:sz w:val="20"/>
              </w:rPr>
            </w:pPr>
          </w:p>
        </w:tc>
        <w:tc>
          <w:tcPr>
            <w:tcW w:w="37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Prezes ULC</w:t>
            </w:r>
          </w:p>
        </w:tc>
        <w:tc>
          <w:tcPr>
            <w:tcW w:w="246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W odniesieniu do operacji innych niż wykonywane w kategorii „otwartej” – przeprowadzanie kontroli w stosunku do operatorów  systemów bezzałogowych statków powietrznych, którzy złożyli oświadczenie lub posiadają certyfikat wydany przez właściwy organ, kontrolowanie  systemów bezzałogowych statków powietrznych oraz zapewnienie przestrzegania przez operatorów  systemów bezzałogowych statków powietrznych i pilotów bezzałogowych statków powietrznych przepisów rozporządzenia 2019/947.</w:t>
            </w:r>
          </w:p>
        </w:tc>
        <w:tc>
          <w:tcPr>
            <w:tcW w:w="877"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31.12.2020 r.</w:t>
            </w:r>
          </w:p>
        </w:tc>
        <w:tc>
          <w:tcPr>
            <w:tcW w:w="939"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art. 18 lit. j rozporządzenia 2019/947</w:t>
            </w:r>
          </w:p>
        </w:tc>
      </w:tr>
      <w:tr w:rsidR="00F04FF8" w:rsidRPr="00C85577" w:rsidTr="00F04FF8">
        <w:tc>
          <w:tcPr>
            <w:tcW w:w="342" w:type="pct"/>
          </w:tcPr>
          <w:p w:rsidR="00F04FF8" w:rsidRPr="00C85577" w:rsidRDefault="00F04FF8" w:rsidP="003A52B3">
            <w:pPr>
              <w:pStyle w:val="Akapitzlist"/>
              <w:numPr>
                <w:ilvl w:val="0"/>
                <w:numId w:val="7"/>
              </w:numPr>
              <w:rPr>
                <w:rFonts w:ascii="Times New Roman" w:hAnsi="Times New Roman" w:cs="Times New Roman"/>
                <w:sz w:val="20"/>
              </w:rPr>
            </w:pPr>
          </w:p>
        </w:tc>
        <w:tc>
          <w:tcPr>
            <w:tcW w:w="37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Prezes ULC</w:t>
            </w:r>
          </w:p>
        </w:tc>
        <w:tc>
          <w:tcPr>
            <w:tcW w:w="2466" w:type="pct"/>
          </w:tcPr>
          <w:p w:rsidR="00F04FF8" w:rsidRPr="00C85577" w:rsidRDefault="00DD6011" w:rsidP="003A52B3">
            <w:pPr>
              <w:ind w:firstLine="0"/>
              <w:rPr>
                <w:rFonts w:ascii="Times New Roman" w:hAnsi="Times New Roman" w:cs="Times New Roman"/>
                <w:sz w:val="20"/>
              </w:rPr>
            </w:pPr>
            <w:r w:rsidRPr="00C85577">
              <w:rPr>
                <w:rFonts w:ascii="Times New Roman" w:hAnsi="Times New Roman" w:cs="Times New Roman"/>
                <w:sz w:val="20"/>
              </w:rPr>
              <w:t>W</w:t>
            </w:r>
            <w:r w:rsidR="00F04FF8" w:rsidRPr="00C85577">
              <w:rPr>
                <w:rFonts w:ascii="Times New Roman" w:hAnsi="Times New Roman" w:cs="Times New Roman"/>
                <w:sz w:val="20"/>
              </w:rPr>
              <w:t>drażanie systemu wykrywania i badania przypadków nieprzestrzegania przepisów przez operatorów systemów bezzałogowych statków powietrznych wykonujących operacje w kategorii „otwartej” lub „szczególnej” oraz zdarzeń związanych z bezpieczeństwem zgłas</w:t>
            </w:r>
            <w:r w:rsidR="008C152B">
              <w:rPr>
                <w:rFonts w:ascii="Times New Roman" w:hAnsi="Times New Roman" w:cs="Times New Roman"/>
                <w:sz w:val="20"/>
              </w:rPr>
              <w:t>zanych zgodnie z art. 19 ust. 2.</w:t>
            </w:r>
          </w:p>
        </w:tc>
        <w:tc>
          <w:tcPr>
            <w:tcW w:w="877" w:type="pct"/>
          </w:tcPr>
          <w:p w:rsidR="00F04FF8" w:rsidRPr="00C85577" w:rsidRDefault="00F04FF8" w:rsidP="003A52B3">
            <w:pPr>
              <w:ind w:firstLine="0"/>
              <w:rPr>
                <w:rFonts w:ascii="Times New Roman" w:hAnsi="Times New Roman" w:cs="Times New Roman"/>
                <w:sz w:val="20"/>
              </w:rPr>
            </w:pPr>
          </w:p>
        </w:tc>
        <w:tc>
          <w:tcPr>
            <w:tcW w:w="939"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art. 18 lit. k rozporządzenia 2019/947</w:t>
            </w:r>
          </w:p>
        </w:tc>
      </w:tr>
      <w:tr w:rsidR="00F04FF8" w:rsidRPr="00C85577" w:rsidTr="00F04FF8">
        <w:tc>
          <w:tcPr>
            <w:tcW w:w="342" w:type="pct"/>
          </w:tcPr>
          <w:p w:rsidR="00F04FF8" w:rsidRPr="00C85577" w:rsidRDefault="00F04FF8" w:rsidP="003A52B3">
            <w:pPr>
              <w:pStyle w:val="Akapitzlist"/>
              <w:numPr>
                <w:ilvl w:val="0"/>
                <w:numId w:val="7"/>
              </w:numPr>
              <w:rPr>
                <w:rFonts w:ascii="Times New Roman" w:hAnsi="Times New Roman" w:cs="Times New Roman"/>
                <w:sz w:val="20"/>
              </w:rPr>
            </w:pPr>
          </w:p>
        </w:tc>
        <w:tc>
          <w:tcPr>
            <w:tcW w:w="37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PAŻP</w:t>
            </w:r>
          </w:p>
        </w:tc>
        <w:tc>
          <w:tcPr>
            <w:tcW w:w="2466" w:type="pct"/>
          </w:tcPr>
          <w:p w:rsidR="00F04FF8" w:rsidRPr="00C85577" w:rsidRDefault="00DD6011" w:rsidP="003A52B3">
            <w:pPr>
              <w:ind w:firstLine="0"/>
              <w:rPr>
                <w:rFonts w:ascii="Times New Roman" w:hAnsi="Times New Roman" w:cs="Times New Roman"/>
                <w:sz w:val="20"/>
              </w:rPr>
            </w:pPr>
            <w:r w:rsidRPr="00C85577">
              <w:rPr>
                <w:rFonts w:ascii="Times New Roman" w:hAnsi="Times New Roman" w:cs="Times New Roman"/>
                <w:sz w:val="20"/>
              </w:rPr>
              <w:t>P</w:t>
            </w:r>
            <w:r w:rsidR="00F04FF8" w:rsidRPr="00C85577">
              <w:rPr>
                <w:rFonts w:ascii="Times New Roman" w:hAnsi="Times New Roman" w:cs="Times New Roman"/>
                <w:sz w:val="20"/>
              </w:rPr>
              <w:t>rzekazywanie operatorom systemów bezzałogowych statków powietrznych informacji i wytycznych, które służą zapewnieniu bezpieczeństwa operacji z użyciem  systemów bez</w:t>
            </w:r>
            <w:r w:rsidR="008C152B">
              <w:rPr>
                <w:rFonts w:ascii="Times New Roman" w:hAnsi="Times New Roman" w:cs="Times New Roman"/>
                <w:sz w:val="20"/>
              </w:rPr>
              <w:t>załogowych statków powietrznych.</w:t>
            </w:r>
          </w:p>
        </w:tc>
        <w:tc>
          <w:tcPr>
            <w:tcW w:w="877" w:type="pct"/>
          </w:tcPr>
          <w:p w:rsidR="00F04FF8" w:rsidRPr="00C85577" w:rsidRDefault="00F04FF8" w:rsidP="003A52B3">
            <w:pPr>
              <w:ind w:firstLine="0"/>
              <w:rPr>
                <w:rFonts w:ascii="Times New Roman" w:hAnsi="Times New Roman" w:cs="Times New Roman"/>
                <w:sz w:val="20"/>
              </w:rPr>
            </w:pPr>
          </w:p>
        </w:tc>
        <w:tc>
          <w:tcPr>
            <w:tcW w:w="939"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art. 18 lit. l rozporządzenia 2019/947</w:t>
            </w:r>
          </w:p>
        </w:tc>
      </w:tr>
      <w:tr w:rsidR="00F04FF8" w:rsidRPr="00C85577" w:rsidTr="00F04FF8">
        <w:tc>
          <w:tcPr>
            <w:tcW w:w="342" w:type="pct"/>
          </w:tcPr>
          <w:p w:rsidR="00F04FF8" w:rsidRPr="00C85577" w:rsidRDefault="00F04FF8" w:rsidP="003A52B3">
            <w:pPr>
              <w:pStyle w:val="Akapitzlist"/>
              <w:numPr>
                <w:ilvl w:val="0"/>
                <w:numId w:val="7"/>
              </w:numPr>
              <w:rPr>
                <w:rFonts w:ascii="Times New Roman" w:hAnsi="Times New Roman" w:cs="Times New Roman"/>
                <w:sz w:val="20"/>
              </w:rPr>
            </w:pPr>
          </w:p>
        </w:tc>
        <w:tc>
          <w:tcPr>
            <w:tcW w:w="376" w:type="pct"/>
          </w:tcPr>
          <w:p w:rsidR="00F04FF8" w:rsidRPr="00C85577" w:rsidRDefault="00F04FF8" w:rsidP="003A52B3">
            <w:pPr>
              <w:tabs>
                <w:tab w:val="left" w:pos="915"/>
              </w:tabs>
              <w:ind w:firstLine="0"/>
              <w:rPr>
                <w:rFonts w:ascii="Times New Roman" w:hAnsi="Times New Roman" w:cs="Times New Roman"/>
                <w:sz w:val="20"/>
              </w:rPr>
            </w:pPr>
            <w:r w:rsidRPr="00C85577">
              <w:rPr>
                <w:rFonts w:ascii="Times New Roman" w:hAnsi="Times New Roman" w:cs="Times New Roman"/>
                <w:sz w:val="20"/>
              </w:rPr>
              <w:t>Prezes ULC</w:t>
            </w:r>
          </w:p>
        </w:tc>
        <w:tc>
          <w:tcPr>
            <w:tcW w:w="2466" w:type="pct"/>
          </w:tcPr>
          <w:p w:rsidR="00F04FF8" w:rsidRPr="00C85577" w:rsidRDefault="00F04FF8" w:rsidP="003A52B3">
            <w:pPr>
              <w:tabs>
                <w:tab w:val="left" w:pos="915"/>
              </w:tabs>
              <w:ind w:firstLine="0"/>
              <w:rPr>
                <w:rFonts w:ascii="Times New Roman" w:hAnsi="Times New Roman" w:cs="Times New Roman"/>
                <w:sz w:val="20"/>
              </w:rPr>
            </w:pPr>
            <w:r w:rsidRPr="00C85577">
              <w:rPr>
                <w:rFonts w:ascii="Times New Roman" w:hAnsi="Times New Roman" w:cs="Times New Roman"/>
                <w:sz w:val="20"/>
              </w:rPr>
              <w:t>Utworzenie i utrzymywanie systemów rejestracji systemów bezzałogowych statków powietrznych, których konstrukcja podlega certyfikacji, oraz operatorów systemów bezzałogowych statków powietrznych, których operacje mogą stwarzać zagrożenie dla bezpieczeństwa, ochrony, prywatności, ochrony danych osobowych lub środowiska.</w:t>
            </w:r>
          </w:p>
        </w:tc>
        <w:tc>
          <w:tcPr>
            <w:tcW w:w="877"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31.12.2020 r.</w:t>
            </w:r>
          </w:p>
        </w:tc>
        <w:tc>
          <w:tcPr>
            <w:tcW w:w="939"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art. 18 lit. m rozporządzenia 2019/947</w:t>
            </w:r>
          </w:p>
          <w:p w:rsidR="00F04FF8" w:rsidRPr="00C85577" w:rsidRDefault="00F04FF8" w:rsidP="003A52B3">
            <w:pPr>
              <w:ind w:firstLine="0"/>
              <w:rPr>
                <w:rFonts w:ascii="Times New Roman" w:hAnsi="Times New Roman" w:cs="Times New Roman"/>
                <w:sz w:val="20"/>
              </w:rPr>
            </w:pPr>
          </w:p>
        </w:tc>
      </w:tr>
      <w:tr w:rsidR="00F04FF8" w:rsidRPr="00C85577" w:rsidTr="00F04FF8">
        <w:tc>
          <w:tcPr>
            <w:tcW w:w="342" w:type="pct"/>
          </w:tcPr>
          <w:p w:rsidR="00F04FF8" w:rsidRPr="00C85577" w:rsidRDefault="00F04FF8" w:rsidP="003A52B3">
            <w:pPr>
              <w:pStyle w:val="Akapitzlist"/>
              <w:numPr>
                <w:ilvl w:val="0"/>
                <w:numId w:val="7"/>
              </w:numPr>
              <w:rPr>
                <w:rFonts w:ascii="Times New Roman" w:hAnsi="Times New Roman" w:cs="Times New Roman"/>
                <w:sz w:val="20"/>
              </w:rPr>
            </w:pPr>
          </w:p>
        </w:tc>
        <w:tc>
          <w:tcPr>
            <w:tcW w:w="37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Prezes ULC</w:t>
            </w:r>
          </w:p>
        </w:tc>
        <w:tc>
          <w:tcPr>
            <w:tcW w:w="2466" w:type="pct"/>
          </w:tcPr>
          <w:p w:rsidR="00F04FF8" w:rsidRPr="00C85577" w:rsidRDefault="00DD6011" w:rsidP="003A52B3">
            <w:pPr>
              <w:ind w:firstLine="0"/>
              <w:rPr>
                <w:rFonts w:ascii="Times New Roman" w:hAnsi="Times New Roman" w:cs="Times New Roman"/>
                <w:sz w:val="20"/>
              </w:rPr>
            </w:pPr>
            <w:r w:rsidRPr="00C85577">
              <w:rPr>
                <w:rFonts w:ascii="Times New Roman" w:hAnsi="Times New Roman" w:cs="Times New Roman"/>
                <w:sz w:val="20"/>
              </w:rPr>
              <w:t>Konwersja świadectw kwalifikacji operatora bezzałogowego statku powietrznego</w:t>
            </w:r>
            <w:r w:rsidR="00F04FF8" w:rsidRPr="00C85577">
              <w:rPr>
                <w:rFonts w:ascii="Times New Roman" w:hAnsi="Times New Roman" w:cs="Times New Roman"/>
                <w:sz w:val="20"/>
              </w:rPr>
              <w:t>.</w:t>
            </w:r>
          </w:p>
        </w:tc>
        <w:tc>
          <w:tcPr>
            <w:tcW w:w="877"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31.12.2020 r.</w:t>
            </w:r>
          </w:p>
        </w:tc>
        <w:tc>
          <w:tcPr>
            <w:tcW w:w="939"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art. 21 ust. 2 rozporządzenia 2019/947</w:t>
            </w:r>
          </w:p>
        </w:tc>
      </w:tr>
      <w:tr w:rsidR="00F04FF8" w:rsidRPr="00C85577" w:rsidTr="00F04FF8">
        <w:tc>
          <w:tcPr>
            <w:tcW w:w="342" w:type="pct"/>
          </w:tcPr>
          <w:p w:rsidR="00F04FF8" w:rsidRPr="00C85577" w:rsidRDefault="00F04FF8" w:rsidP="003A52B3">
            <w:pPr>
              <w:pStyle w:val="Akapitzlist"/>
              <w:numPr>
                <w:ilvl w:val="0"/>
                <w:numId w:val="7"/>
              </w:numPr>
              <w:rPr>
                <w:rFonts w:ascii="Times New Roman" w:hAnsi="Times New Roman" w:cs="Times New Roman"/>
                <w:sz w:val="20"/>
              </w:rPr>
            </w:pPr>
          </w:p>
        </w:tc>
        <w:tc>
          <w:tcPr>
            <w:tcW w:w="37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Prezes ULC</w:t>
            </w:r>
          </w:p>
        </w:tc>
        <w:tc>
          <w:tcPr>
            <w:tcW w:w="246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Przyjmowanie oświadczeń o operacjach zgodnych z krajowym scenariuszem standardowym.</w:t>
            </w:r>
          </w:p>
        </w:tc>
        <w:tc>
          <w:tcPr>
            <w:tcW w:w="877" w:type="pct"/>
          </w:tcPr>
          <w:p w:rsidR="00F04FF8" w:rsidRPr="00C85577" w:rsidRDefault="00F04FF8" w:rsidP="00F04FF8">
            <w:pPr>
              <w:ind w:firstLine="0"/>
              <w:rPr>
                <w:rFonts w:ascii="Times New Roman" w:hAnsi="Times New Roman" w:cs="Times New Roman"/>
                <w:sz w:val="20"/>
              </w:rPr>
            </w:pPr>
            <w:r w:rsidRPr="00C85577">
              <w:rPr>
                <w:rFonts w:ascii="Times New Roman" w:hAnsi="Times New Roman" w:cs="Times New Roman"/>
                <w:sz w:val="20"/>
              </w:rPr>
              <w:t>31.12.2020 r.</w:t>
            </w:r>
          </w:p>
        </w:tc>
        <w:tc>
          <w:tcPr>
            <w:tcW w:w="939"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art. 23 ust. 4 rozporządzenia 2019/947</w:t>
            </w:r>
          </w:p>
        </w:tc>
      </w:tr>
      <w:tr w:rsidR="00F04FF8" w:rsidRPr="00C85577" w:rsidTr="00F04FF8">
        <w:tc>
          <w:tcPr>
            <w:tcW w:w="342" w:type="pct"/>
          </w:tcPr>
          <w:p w:rsidR="00F04FF8" w:rsidRPr="00C85577" w:rsidRDefault="00F04FF8" w:rsidP="003A52B3">
            <w:pPr>
              <w:pStyle w:val="Akapitzlist"/>
              <w:numPr>
                <w:ilvl w:val="0"/>
                <w:numId w:val="7"/>
              </w:numPr>
              <w:rPr>
                <w:rFonts w:ascii="Times New Roman" w:hAnsi="Times New Roman" w:cs="Times New Roman"/>
                <w:sz w:val="20"/>
              </w:rPr>
            </w:pPr>
          </w:p>
        </w:tc>
        <w:tc>
          <w:tcPr>
            <w:tcW w:w="37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Prezes ULC</w:t>
            </w:r>
          </w:p>
        </w:tc>
        <w:tc>
          <w:tcPr>
            <w:tcW w:w="246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Uznawanie podmiotów do prowadzenia szkolenia praktycznego i oceny umiejętności praktycznych pilotów bezzałogowych statków powietrznych do celów STS.</w:t>
            </w:r>
          </w:p>
        </w:tc>
        <w:tc>
          <w:tcPr>
            <w:tcW w:w="877" w:type="pct"/>
          </w:tcPr>
          <w:p w:rsidR="00F04FF8" w:rsidRPr="00C85577" w:rsidRDefault="00F04FF8" w:rsidP="00F04FF8">
            <w:pPr>
              <w:ind w:firstLine="0"/>
              <w:rPr>
                <w:rFonts w:ascii="Times New Roman" w:hAnsi="Times New Roman" w:cs="Times New Roman"/>
              </w:rPr>
            </w:pPr>
            <w:r w:rsidRPr="00C85577">
              <w:rPr>
                <w:rFonts w:ascii="Times New Roman" w:hAnsi="Times New Roman" w:cs="Times New Roman"/>
                <w:sz w:val="20"/>
              </w:rPr>
              <w:t>2.12.2021 r.</w:t>
            </w:r>
          </w:p>
        </w:tc>
        <w:tc>
          <w:tcPr>
            <w:tcW w:w="939" w:type="pct"/>
          </w:tcPr>
          <w:p w:rsidR="00F04FF8" w:rsidRPr="00C85577" w:rsidRDefault="004E3AAA" w:rsidP="00F04FF8">
            <w:pPr>
              <w:ind w:firstLine="0"/>
              <w:rPr>
                <w:rFonts w:ascii="Times New Roman" w:hAnsi="Times New Roman" w:cs="Times New Roman"/>
                <w:sz w:val="20"/>
              </w:rPr>
            </w:pPr>
            <w:r>
              <w:rPr>
                <w:rFonts w:ascii="Times New Roman" w:hAnsi="Times New Roman" w:cs="Times New Roman"/>
                <w:sz w:val="20"/>
              </w:rPr>
              <w:t>d</w:t>
            </w:r>
            <w:r w:rsidR="00F04FF8" w:rsidRPr="00C85577">
              <w:rPr>
                <w:rFonts w:ascii="Times New Roman" w:hAnsi="Times New Roman" w:cs="Times New Roman"/>
                <w:sz w:val="20"/>
              </w:rPr>
              <w:t>odatek 6 załącznika do rozporządzenia 2019/947</w:t>
            </w:r>
          </w:p>
        </w:tc>
      </w:tr>
      <w:tr w:rsidR="00F04FF8" w:rsidRPr="00C85577" w:rsidTr="00F04FF8">
        <w:tc>
          <w:tcPr>
            <w:tcW w:w="342" w:type="pct"/>
          </w:tcPr>
          <w:p w:rsidR="00F04FF8" w:rsidRPr="00C85577" w:rsidRDefault="00F04FF8" w:rsidP="003A52B3">
            <w:pPr>
              <w:pStyle w:val="Akapitzlist"/>
              <w:numPr>
                <w:ilvl w:val="0"/>
                <w:numId w:val="7"/>
              </w:numPr>
              <w:rPr>
                <w:rFonts w:ascii="Times New Roman" w:hAnsi="Times New Roman" w:cs="Times New Roman"/>
                <w:sz w:val="20"/>
              </w:rPr>
            </w:pPr>
          </w:p>
        </w:tc>
        <w:tc>
          <w:tcPr>
            <w:tcW w:w="376" w:type="pct"/>
          </w:tcPr>
          <w:p w:rsidR="00F04FF8" w:rsidRPr="00C85577" w:rsidRDefault="00F04FF8" w:rsidP="003A52B3">
            <w:pPr>
              <w:ind w:firstLine="0"/>
              <w:rPr>
                <w:rFonts w:ascii="Times New Roman" w:hAnsi="Times New Roman" w:cs="Times New Roman"/>
                <w:sz w:val="20"/>
              </w:rPr>
            </w:pPr>
            <w:r w:rsidRPr="00C85577">
              <w:rPr>
                <w:rFonts w:ascii="Times New Roman" w:hAnsi="Times New Roman" w:cs="Times New Roman"/>
                <w:sz w:val="20"/>
              </w:rPr>
              <w:t>Prezes ULC</w:t>
            </w:r>
          </w:p>
        </w:tc>
        <w:tc>
          <w:tcPr>
            <w:tcW w:w="2466" w:type="pct"/>
          </w:tcPr>
          <w:p w:rsidR="00F04FF8" w:rsidRPr="00C85577" w:rsidRDefault="00F04FF8" w:rsidP="00F04FF8">
            <w:pPr>
              <w:ind w:firstLine="0"/>
              <w:rPr>
                <w:rFonts w:ascii="Times New Roman" w:hAnsi="Times New Roman" w:cs="Times New Roman"/>
                <w:sz w:val="20"/>
              </w:rPr>
            </w:pPr>
            <w:r w:rsidRPr="00C85577">
              <w:rPr>
                <w:rFonts w:ascii="Times New Roman" w:hAnsi="Times New Roman" w:cs="Times New Roman"/>
                <w:sz w:val="20"/>
              </w:rPr>
              <w:t>Wyznaczanie podmiotów do prowadzenia szkoleń zgodnie ze złożonymi oświadczeniami.</w:t>
            </w:r>
          </w:p>
        </w:tc>
        <w:tc>
          <w:tcPr>
            <w:tcW w:w="877" w:type="pct"/>
          </w:tcPr>
          <w:p w:rsidR="00F04FF8" w:rsidRPr="00C85577" w:rsidRDefault="00F04FF8" w:rsidP="003A52B3">
            <w:pPr>
              <w:ind w:firstLine="0"/>
              <w:rPr>
                <w:rFonts w:ascii="Times New Roman" w:hAnsi="Times New Roman" w:cs="Times New Roman"/>
              </w:rPr>
            </w:pPr>
            <w:r w:rsidRPr="00C85577">
              <w:rPr>
                <w:rFonts w:ascii="Times New Roman" w:hAnsi="Times New Roman" w:cs="Times New Roman"/>
                <w:sz w:val="20"/>
              </w:rPr>
              <w:t>31.12.2020 r.</w:t>
            </w:r>
          </w:p>
        </w:tc>
        <w:tc>
          <w:tcPr>
            <w:tcW w:w="939" w:type="pct"/>
          </w:tcPr>
          <w:p w:rsidR="00F04FF8" w:rsidRPr="00C85577" w:rsidRDefault="004E3AAA" w:rsidP="00C10BD8">
            <w:pPr>
              <w:ind w:firstLine="0"/>
              <w:rPr>
                <w:rFonts w:ascii="Times New Roman" w:hAnsi="Times New Roman" w:cs="Times New Roman"/>
                <w:sz w:val="20"/>
              </w:rPr>
            </w:pPr>
            <w:r>
              <w:rPr>
                <w:rFonts w:ascii="Times New Roman" w:hAnsi="Times New Roman" w:cs="Times New Roman"/>
                <w:sz w:val="20"/>
              </w:rPr>
              <w:t>w</w:t>
            </w:r>
            <w:r w:rsidR="00F04FF8" w:rsidRPr="00C85577">
              <w:rPr>
                <w:rFonts w:ascii="Times New Roman" w:hAnsi="Times New Roman" w:cs="Times New Roman"/>
                <w:sz w:val="20"/>
              </w:rPr>
              <w:t xml:space="preserve">ytyczne ws. krajowych scenariuszy standardowych oraz od 2.12.2021 </w:t>
            </w:r>
            <w:r w:rsidR="00C10BD8" w:rsidRPr="00C10BD8">
              <w:rPr>
                <w:rFonts w:ascii="Times New Roman" w:hAnsi="Times New Roman" w:cs="Times New Roman"/>
                <w:sz w:val="20"/>
              </w:rPr>
              <w:t>–</w:t>
            </w:r>
            <w:r w:rsidR="00F04FF8" w:rsidRPr="00C85577">
              <w:rPr>
                <w:rFonts w:ascii="Times New Roman" w:hAnsi="Times New Roman" w:cs="Times New Roman"/>
                <w:sz w:val="20"/>
              </w:rPr>
              <w:t xml:space="preserve"> dodatek 4 załącznika do rozporządzenia 2019/947</w:t>
            </w:r>
          </w:p>
        </w:tc>
      </w:tr>
      <w:tr w:rsidR="00DD6011" w:rsidRPr="00C85577" w:rsidTr="00F04FF8">
        <w:tc>
          <w:tcPr>
            <w:tcW w:w="342" w:type="pct"/>
          </w:tcPr>
          <w:p w:rsidR="00DD6011" w:rsidRPr="00C85577" w:rsidRDefault="00DD6011" w:rsidP="003A52B3">
            <w:pPr>
              <w:pStyle w:val="Akapitzlist"/>
              <w:numPr>
                <w:ilvl w:val="0"/>
                <w:numId w:val="7"/>
              </w:numPr>
              <w:rPr>
                <w:rFonts w:ascii="Times New Roman" w:hAnsi="Times New Roman" w:cs="Times New Roman"/>
                <w:sz w:val="20"/>
              </w:rPr>
            </w:pPr>
          </w:p>
        </w:tc>
        <w:tc>
          <w:tcPr>
            <w:tcW w:w="376" w:type="pct"/>
          </w:tcPr>
          <w:p w:rsidR="00DD6011" w:rsidRPr="00C85577" w:rsidRDefault="00DD6011" w:rsidP="003A52B3">
            <w:pPr>
              <w:ind w:firstLine="0"/>
              <w:rPr>
                <w:rFonts w:ascii="Times New Roman" w:hAnsi="Times New Roman" w:cs="Times New Roman"/>
                <w:sz w:val="20"/>
              </w:rPr>
            </w:pPr>
            <w:r w:rsidRPr="00C85577">
              <w:rPr>
                <w:rFonts w:ascii="Times New Roman" w:hAnsi="Times New Roman" w:cs="Times New Roman"/>
                <w:sz w:val="20"/>
              </w:rPr>
              <w:t>Prezes ULC</w:t>
            </w:r>
          </w:p>
        </w:tc>
        <w:tc>
          <w:tcPr>
            <w:tcW w:w="2466" w:type="pct"/>
          </w:tcPr>
          <w:p w:rsidR="00DD6011" w:rsidRPr="00C85577" w:rsidRDefault="00DD6011" w:rsidP="00DD6011">
            <w:pPr>
              <w:ind w:firstLine="0"/>
              <w:rPr>
                <w:rFonts w:ascii="Times New Roman" w:hAnsi="Times New Roman" w:cs="Times New Roman"/>
                <w:sz w:val="20"/>
                <w:szCs w:val="20"/>
              </w:rPr>
            </w:pPr>
            <w:r w:rsidRPr="00C85577">
              <w:rPr>
                <w:rFonts w:ascii="Times New Roman" w:hAnsi="Times New Roman" w:cs="Times New Roman"/>
                <w:sz w:val="20"/>
                <w:szCs w:val="20"/>
              </w:rPr>
              <w:t>Pełnienie funkcji organu notyfikującego, który odpowiada za opracowanie i stosowanie procedur niezbędnych do oceny jednostek oceniających zgodność i ich notyfikacji oraz do monitorowania jednostek notyfikowanych.</w:t>
            </w:r>
          </w:p>
        </w:tc>
        <w:tc>
          <w:tcPr>
            <w:tcW w:w="877" w:type="pct"/>
          </w:tcPr>
          <w:p w:rsidR="00DD6011" w:rsidRPr="00C85577" w:rsidRDefault="00DD6011" w:rsidP="003A52B3">
            <w:pPr>
              <w:ind w:firstLine="0"/>
              <w:rPr>
                <w:rFonts w:ascii="Times New Roman" w:hAnsi="Times New Roman" w:cs="Times New Roman"/>
                <w:sz w:val="20"/>
              </w:rPr>
            </w:pPr>
          </w:p>
        </w:tc>
        <w:tc>
          <w:tcPr>
            <w:tcW w:w="939" w:type="pct"/>
          </w:tcPr>
          <w:p w:rsidR="00DD6011" w:rsidRPr="00C85577" w:rsidRDefault="00DD6011" w:rsidP="00F04FF8">
            <w:pPr>
              <w:ind w:firstLine="0"/>
              <w:rPr>
                <w:rFonts w:ascii="Times New Roman" w:hAnsi="Times New Roman" w:cs="Times New Roman"/>
                <w:sz w:val="20"/>
                <w:szCs w:val="20"/>
              </w:rPr>
            </w:pPr>
            <w:r w:rsidRPr="00C85577">
              <w:rPr>
                <w:rFonts w:ascii="Times New Roman" w:hAnsi="Times New Roman" w:cs="Times New Roman"/>
                <w:sz w:val="20"/>
                <w:szCs w:val="20"/>
              </w:rPr>
              <w:t>art. 19 ust. 1 rozporządzenia 2019/945</w:t>
            </w:r>
          </w:p>
        </w:tc>
      </w:tr>
    </w:tbl>
    <w:p w:rsidR="00B40206" w:rsidRDefault="00B40206">
      <w:pPr>
        <w:rPr>
          <w:rFonts w:ascii="Times New Roman" w:hAnsi="Times New Roman" w:cs="Times New Roman"/>
        </w:rPr>
      </w:pPr>
      <w:r>
        <w:rPr>
          <w:rFonts w:ascii="Times New Roman" w:hAnsi="Times New Roman" w:cs="Times New Roman"/>
        </w:rPr>
        <w:br w:type="page"/>
      </w:r>
    </w:p>
    <w:p w:rsidR="00B40206" w:rsidRPr="00B40206" w:rsidRDefault="00B40206" w:rsidP="00B40206">
      <w:pPr>
        <w:spacing w:after="120" w:line="240" w:lineRule="auto"/>
        <w:ind w:firstLine="0"/>
        <w:jc w:val="both"/>
        <w:rPr>
          <w:rFonts w:ascii="Times New Roman" w:eastAsia="Calibri" w:hAnsi="Times New Roman" w:cs="Times New Roman"/>
          <w:spacing w:val="-2"/>
          <w:lang w:eastAsia="pl-PL"/>
        </w:rPr>
      </w:pPr>
      <w:r w:rsidRPr="00B40206">
        <w:rPr>
          <w:rFonts w:ascii="Times New Roman" w:eastAsia="Calibri" w:hAnsi="Times New Roman" w:cs="Times New Roman"/>
          <w:spacing w:val="-2"/>
          <w:lang w:eastAsia="pl-PL"/>
        </w:rPr>
        <w:lastRenderedPageBreak/>
        <w:t>Analiza pracochłonności w zakresie nowych zadań Prezesa ULC</w:t>
      </w:r>
    </w:p>
    <w:tbl>
      <w:tblPr>
        <w:tblW w:w="8880" w:type="dxa"/>
        <w:tblLayout w:type="fixed"/>
        <w:tblCellMar>
          <w:left w:w="70" w:type="dxa"/>
          <w:right w:w="70" w:type="dxa"/>
        </w:tblCellMar>
        <w:tblLook w:val="04A0" w:firstRow="1" w:lastRow="0" w:firstColumn="1" w:lastColumn="0" w:noHBand="0" w:noVBand="1"/>
      </w:tblPr>
      <w:tblGrid>
        <w:gridCol w:w="935"/>
        <w:gridCol w:w="2701"/>
        <w:gridCol w:w="935"/>
        <w:gridCol w:w="539"/>
        <w:gridCol w:w="279"/>
        <w:gridCol w:w="539"/>
        <w:gridCol w:w="259"/>
        <w:gridCol w:w="539"/>
        <w:gridCol w:w="317"/>
        <w:gridCol w:w="539"/>
        <w:gridCol w:w="1298"/>
      </w:tblGrid>
      <w:tr w:rsidR="00B40206" w:rsidRPr="00B40206" w:rsidTr="00EE5A58">
        <w:trPr>
          <w:trHeight w:val="264"/>
        </w:trPr>
        <w:tc>
          <w:tcPr>
            <w:tcW w:w="935" w:type="dxa"/>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sz w:val="20"/>
                <w:szCs w:val="20"/>
                <w:lang w:eastAsia="pl-PL"/>
              </w:rPr>
            </w:pPr>
          </w:p>
        </w:tc>
        <w:tc>
          <w:tcPr>
            <w:tcW w:w="3636" w:type="dxa"/>
            <w:gridSpan w:val="2"/>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b/>
                <w:bCs/>
                <w:i/>
                <w:iCs/>
                <w:sz w:val="20"/>
                <w:szCs w:val="20"/>
                <w:u w:val="single"/>
                <w:lang w:eastAsia="pl-PL"/>
              </w:rPr>
            </w:pPr>
            <w:r w:rsidRPr="00B40206">
              <w:rPr>
                <w:rFonts w:ascii="Times New Roman" w:eastAsia="Times New Roman" w:hAnsi="Times New Roman" w:cs="Times New Roman"/>
                <w:b/>
                <w:bCs/>
                <w:i/>
                <w:iCs/>
                <w:sz w:val="20"/>
                <w:szCs w:val="20"/>
                <w:u w:val="single"/>
                <w:lang w:eastAsia="pl-PL"/>
              </w:rPr>
              <w:t>Założenia</w:t>
            </w:r>
          </w:p>
        </w:tc>
        <w:tc>
          <w:tcPr>
            <w:tcW w:w="539" w:type="dxa"/>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b/>
                <w:bCs/>
                <w:i/>
                <w:iCs/>
                <w:sz w:val="20"/>
                <w:szCs w:val="20"/>
                <w:u w:val="single"/>
                <w:lang w:eastAsia="pl-PL"/>
              </w:rPr>
            </w:pPr>
          </w:p>
        </w:tc>
        <w:tc>
          <w:tcPr>
            <w:tcW w:w="818" w:type="dxa"/>
            <w:gridSpan w:val="2"/>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sz w:val="20"/>
                <w:szCs w:val="20"/>
                <w:lang w:eastAsia="pl-PL"/>
              </w:rPr>
            </w:pPr>
          </w:p>
        </w:tc>
        <w:tc>
          <w:tcPr>
            <w:tcW w:w="798" w:type="dxa"/>
            <w:gridSpan w:val="2"/>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sz w:val="20"/>
                <w:szCs w:val="20"/>
                <w:lang w:eastAsia="pl-PL"/>
              </w:rPr>
            </w:pPr>
          </w:p>
        </w:tc>
        <w:tc>
          <w:tcPr>
            <w:tcW w:w="856" w:type="dxa"/>
            <w:gridSpan w:val="2"/>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sz w:val="20"/>
                <w:szCs w:val="20"/>
                <w:lang w:eastAsia="pl-PL"/>
              </w:rPr>
            </w:pPr>
          </w:p>
        </w:tc>
        <w:tc>
          <w:tcPr>
            <w:tcW w:w="1298" w:type="dxa"/>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sz w:val="20"/>
                <w:szCs w:val="20"/>
                <w:lang w:eastAsia="pl-PL"/>
              </w:rPr>
            </w:pPr>
          </w:p>
        </w:tc>
      </w:tr>
      <w:tr w:rsidR="00B40206" w:rsidRPr="00B40206" w:rsidTr="00EE5A58">
        <w:trPr>
          <w:trHeight w:val="264"/>
        </w:trPr>
        <w:tc>
          <w:tcPr>
            <w:tcW w:w="935" w:type="dxa"/>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sz w:val="20"/>
                <w:szCs w:val="20"/>
                <w:lang w:eastAsia="pl-PL"/>
              </w:rPr>
            </w:pPr>
          </w:p>
        </w:tc>
        <w:tc>
          <w:tcPr>
            <w:tcW w:w="3636" w:type="dxa"/>
            <w:gridSpan w:val="2"/>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i/>
                <w:iCs/>
                <w:sz w:val="20"/>
                <w:szCs w:val="20"/>
                <w:lang w:eastAsia="pl-PL"/>
              </w:rPr>
            </w:pPr>
            <w:r w:rsidRPr="00B40206">
              <w:rPr>
                <w:rFonts w:ascii="Times New Roman" w:eastAsia="Times New Roman" w:hAnsi="Times New Roman" w:cs="Times New Roman"/>
                <w:i/>
                <w:iCs/>
                <w:sz w:val="20"/>
                <w:szCs w:val="20"/>
                <w:lang w:eastAsia="pl-PL"/>
              </w:rPr>
              <w:t>Liczba dni roboczych w roku</w:t>
            </w:r>
          </w:p>
        </w:tc>
        <w:tc>
          <w:tcPr>
            <w:tcW w:w="539" w:type="dxa"/>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i/>
                <w:iCs/>
                <w:sz w:val="20"/>
                <w:szCs w:val="20"/>
                <w:lang w:eastAsia="pl-PL"/>
              </w:rPr>
            </w:pPr>
          </w:p>
        </w:tc>
        <w:tc>
          <w:tcPr>
            <w:tcW w:w="818" w:type="dxa"/>
            <w:gridSpan w:val="2"/>
            <w:tcBorders>
              <w:top w:val="nil"/>
              <w:left w:val="nil"/>
              <w:bottom w:val="nil"/>
              <w:right w:val="nil"/>
            </w:tcBorders>
            <w:shd w:val="clear" w:color="auto" w:fill="auto"/>
            <w:hideMark/>
          </w:tcPr>
          <w:p w:rsidR="00B40206" w:rsidRPr="00B40206" w:rsidRDefault="00B40206" w:rsidP="00B40206">
            <w:pPr>
              <w:spacing w:line="240" w:lineRule="auto"/>
              <w:ind w:firstLine="0"/>
              <w:jc w:val="right"/>
              <w:rPr>
                <w:rFonts w:ascii="Times New Roman" w:eastAsia="Times New Roman" w:hAnsi="Times New Roman" w:cs="Times New Roman"/>
                <w:b/>
                <w:bCs/>
                <w:i/>
                <w:iCs/>
                <w:sz w:val="20"/>
                <w:szCs w:val="20"/>
                <w:lang w:eastAsia="pl-PL"/>
              </w:rPr>
            </w:pPr>
            <w:r w:rsidRPr="00B40206">
              <w:rPr>
                <w:rFonts w:ascii="Times New Roman" w:eastAsia="Times New Roman" w:hAnsi="Times New Roman" w:cs="Times New Roman"/>
                <w:b/>
                <w:bCs/>
                <w:i/>
                <w:iCs/>
                <w:sz w:val="20"/>
                <w:szCs w:val="20"/>
                <w:lang w:eastAsia="pl-PL"/>
              </w:rPr>
              <w:t>252</w:t>
            </w:r>
          </w:p>
        </w:tc>
        <w:tc>
          <w:tcPr>
            <w:tcW w:w="798" w:type="dxa"/>
            <w:gridSpan w:val="2"/>
            <w:tcBorders>
              <w:top w:val="nil"/>
              <w:left w:val="nil"/>
              <w:bottom w:val="nil"/>
              <w:right w:val="nil"/>
            </w:tcBorders>
            <w:shd w:val="clear" w:color="auto" w:fill="auto"/>
            <w:hideMark/>
          </w:tcPr>
          <w:p w:rsidR="00B40206" w:rsidRPr="00B40206" w:rsidRDefault="00B40206" w:rsidP="00B40206">
            <w:pPr>
              <w:spacing w:line="240" w:lineRule="auto"/>
              <w:ind w:firstLine="0"/>
              <w:jc w:val="right"/>
              <w:rPr>
                <w:rFonts w:ascii="Times New Roman" w:eastAsia="Times New Roman" w:hAnsi="Times New Roman" w:cs="Times New Roman"/>
                <w:b/>
                <w:bCs/>
                <w:i/>
                <w:iCs/>
                <w:sz w:val="20"/>
                <w:szCs w:val="20"/>
                <w:lang w:eastAsia="pl-PL"/>
              </w:rPr>
            </w:pPr>
          </w:p>
        </w:tc>
        <w:tc>
          <w:tcPr>
            <w:tcW w:w="856" w:type="dxa"/>
            <w:gridSpan w:val="2"/>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sz w:val="20"/>
                <w:szCs w:val="20"/>
                <w:lang w:eastAsia="pl-PL"/>
              </w:rPr>
            </w:pPr>
          </w:p>
        </w:tc>
        <w:tc>
          <w:tcPr>
            <w:tcW w:w="1298" w:type="dxa"/>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sz w:val="20"/>
                <w:szCs w:val="20"/>
                <w:lang w:eastAsia="pl-PL"/>
              </w:rPr>
            </w:pPr>
          </w:p>
        </w:tc>
      </w:tr>
      <w:tr w:rsidR="00B40206" w:rsidRPr="00B40206" w:rsidTr="00EE5A58">
        <w:trPr>
          <w:trHeight w:val="792"/>
        </w:trPr>
        <w:tc>
          <w:tcPr>
            <w:tcW w:w="935" w:type="dxa"/>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sz w:val="20"/>
                <w:szCs w:val="20"/>
                <w:lang w:eastAsia="pl-PL"/>
              </w:rPr>
            </w:pPr>
          </w:p>
        </w:tc>
        <w:tc>
          <w:tcPr>
            <w:tcW w:w="3636" w:type="dxa"/>
            <w:gridSpan w:val="2"/>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i/>
                <w:iCs/>
                <w:sz w:val="20"/>
                <w:szCs w:val="20"/>
                <w:lang w:eastAsia="pl-PL"/>
              </w:rPr>
            </w:pPr>
            <w:r w:rsidRPr="00B40206">
              <w:rPr>
                <w:rFonts w:ascii="Times New Roman" w:eastAsia="Times New Roman" w:hAnsi="Times New Roman" w:cs="Times New Roman"/>
                <w:i/>
                <w:iCs/>
                <w:sz w:val="20"/>
                <w:szCs w:val="20"/>
                <w:lang w:eastAsia="pl-PL"/>
              </w:rPr>
              <w:t>Liczba godzin poświęcanych przez 1 pracownika swoim zadaniom w dniu roboczym</w:t>
            </w:r>
          </w:p>
        </w:tc>
        <w:tc>
          <w:tcPr>
            <w:tcW w:w="539" w:type="dxa"/>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i/>
                <w:iCs/>
                <w:sz w:val="20"/>
                <w:szCs w:val="20"/>
                <w:lang w:eastAsia="pl-PL"/>
              </w:rPr>
            </w:pPr>
          </w:p>
        </w:tc>
        <w:tc>
          <w:tcPr>
            <w:tcW w:w="818" w:type="dxa"/>
            <w:gridSpan w:val="2"/>
            <w:tcBorders>
              <w:top w:val="nil"/>
              <w:left w:val="nil"/>
              <w:bottom w:val="nil"/>
              <w:right w:val="nil"/>
            </w:tcBorders>
            <w:shd w:val="clear" w:color="auto" w:fill="auto"/>
            <w:hideMark/>
          </w:tcPr>
          <w:p w:rsidR="00B40206" w:rsidRPr="00B40206" w:rsidRDefault="00B40206" w:rsidP="00B40206">
            <w:pPr>
              <w:spacing w:line="240" w:lineRule="auto"/>
              <w:ind w:firstLine="0"/>
              <w:jc w:val="right"/>
              <w:rPr>
                <w:rFonts w:ascii="Times New Roman" w:eastAsia="Times New Roman" w:hAnsi="Times New Roman" w:cs="Times New Roman"/>
                <w:b/>
                <w:bCs/>
                <w:i/>
                <w:iCs/>
                <w:sz w:val="20"/>
                <w:szCs w:val="20"/>
                <w:lang w:eastAsia="pl-PL"/>
              </w:rPr>
            </w:pPr>
            <w:r w:rsidRPr="00B40206">
              <w:rPr>
                <w:rFonts w:ascii="Times New Roman" w:eastAsia="Times New Roman" w:hAnsi="Times New Roman" w:cs="Times New Roman"/>
                <w:b/>
                <w:bCs/>
                <w:i/>
                <w:iCs/>
                <w:sz w:val="20"/>
                <w:szCs w:val="20"/>
                <w:lang w:eastAsia="pl-PL"/>
              </w:rPr>
              <w:t>7</w:t>
            </w:r>
          </w:p>
        </w:tc>
        <w:tc>
          <w:tcPr>
            <w:tcW w:w="798" w:type="dxa"/>
            <w:gridSpan w:val="2"/>
            <w:tcBorders>
              <w:top w:val="nil"/>
              <w:left w:val="nil"/>
              <w:bottom w:val="nil"/>
              <w:right w:val="nil"/>
            </w:tcBorders>
            <w:shd w:val="clear" w:color="auto" w:fill="auto"/>
            <w:hideMark/>
          </w:tcPr>
          <w:p w:rsidR="00B40206" w:rsidRPr="00B40206" w:rsidRDefault="00B40206" w:rsidP="00B40206">
            <w:pPr>
              <w:spacing w:line="240" w:lineRule="auto"/>
              <w:ind w:firstLine="0"/>
              <w:jc w:val="right"/>
              <w:rPr>
                <w:rFonts w:ascii="Times New Roman" w:eastAsia="Times New Roman" w:hAnsi="Times New Roman" w:cs="Times New Roman"/>
                <w:b/>
                <w:bCs/>
                <w:i/>
                <w:iCs/>
                <w:sz w:val="20"/>
                <w:szCs w:val="20"/>
                <w:lang w:eastAsia="pl-PL"/>
              </w:rPr>
            </w:pPr>
          </w:p>
        </w:tc>
        <w:tc>
          <w:tcPr>
            <w:tcW w:w="856" w:type="dxa"/>
            <w:gridSpan w:val="2"/>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sz w:val="20"/>
                <w:szCs w:val="20"/>
                <w:lang w:eastAsia="pl-PL"/>
              </w:rPr>
            </w:pPr>
          </w:p>
        </w:tc>
        <w:tc>
          <w:tcPr>
            <w:tcW w:w="1298" w:type="dxa"/>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sz w:val="20"/>
                <w:szCs w:val="20"/>
                <w:lang w:eastAsia="pl-PL"/>
              </w:rPr>
            </w:pPr>
          </w:p>
        </w:tc>
      </w:tr>
      <w:tr w:rsidR="00B40206" w:rsidRPr="00B40206" w:rsidTr="00EE5A58">
        <w:trPr>
          <w:trHeight w:val="528"/>
        </w:trPr>
        <w:tc>
          <w:tcPr>
            <w:tcW w:w="935" w:type="dxa"/>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sz w:val="20"/>
                <w:szCs w:val="20"/>
                <w:lang w:eastAsia="pl-PL"/>
              </w:rPr>
            </w:pPr>
          </w:p>
        </w:tc>
        <w:tc>
          <w:tcPr>
            <w:tcW w:w="3636" w:type="dxa"/>
            <w:gridSpan w:val="2"/>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i/>
                <w:iCs/>
                <w:sz w:val="20"/>
                <w:szCs w:val="20"/>
                <w:lang w:eastAsia="pl-PL"/>
              </w:rPr>
            </w:pPr>
            <w:r w:rsidRPr="00B40206">
              <w:rPr>
                <w:rFonts w:ascii="Times New Roman" w:eastAsia="Times New Roman" w:hAnsi="Times New Roman" w:cs="Times New Roman"/>
                <w:i/>
                <w:iCs/>
                <w:sz w:val="20"/>
                <w:szCs w:val="20"/>
                <w:lang w:eastAsia="pl-PL"/>
              </w:rPr>
              <w:t>Liczba dni urlopowych 1 pracownika w roku</w:t>
            </w:r>
          </w:p>
        </w:tc>
        <w:tc>
          <w:tcPr>
            <w:tcW w:w="539" w:type="dxa"/>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i/>
                <w:iCs/>
                <w:sz w:val="20"/>
                <w:szCs w:val="20"/>
                <w:lang w:eastAsia="pl-PL"/>
              </w:rPr>
            </w:pPr>
          </w:p>
        </w:tc>
        <w:tc>
          <w:tcPr>
            <w:tcW w:w="818" w:type="dxa"/>
            <w:gridSpan w:val="2"/>
            <w:tcBorders>
              <w:top w:val="nil"/>
              <w:left w:val="nil"/>
              <w:bottom w:val="nil"/>
              <w:right w:val="nil"/>
            </w:tcBorders>
            <w:shd w:val="clear" w:color="auto" w:fill="auto"/>
            <w:hideMark/>
          </w:tcPr>
          <w:p w:rsidR="00B40206" w:rsidRPr="00B40206" w:rsidRDefault="00B40206" w:rsidP="00B40206">
            <w:pPr>
              <w:spacing w:line="240" w:lineRule="auto"/>
              <w:ind w:firstLine="0"/>
              <w:jc w:val="right"/>
              <w:rPr>
                <w:rFonts w:ascii="Times New Roman" w:eastAsia="Times New Roman" w:hAnsi="Times New Roman" w:cs="Times New Roman"/>
                <w:b/>
                <w:bCs/>
                <w:i/>
                <w:iCs/>
                <w:sz w:val="20"/>
                <w:szCs w:val="20"/>
                <w:lang w:eastAsia="pl-PL"/>
              </w:rPr>
            </w:pPr>
            <w:r w:rsidRPr="00B40206">
              <w:rPr>
                <w:rFonts w:ascii="Times New Roman" w:eastAsia="Times New Roman" w:hAnsi="Times New Roman" w:cs="Times New Roman"/>
                <w:b/>
                <w:bCs/>
                <w:i/>
                <w:iCs/>
                <w:sz w:val="20"/>
                <w:szCs w:val="20"/>
                <w:lang w:eastAsia="pl-PL"/>
              </w:rPr>
              <w:t>26</w:t>
            </w:r>
          </w:p>
        </w:tc>
        <w:tc>
          <w:tcPr>
            <w:tcW w:w="798" w:type="dxa"/>
            <w:gridSpan w:val="2"/>
            <w:tcBorders>
              <w:top w:val="nil"/>
              <w:left w:val="nil"/>
              <w:bottom w:val="nil"/>
              <w:right w:val="nil"/>
            </w:tcBorders>
            <w:shd w:val="clear" w:color="auto" w:fill="auto"/>
            <w:hideMark/>
          </w:tcPr>
          <w:p w:rsidR="00B40206" w:rsidRPr="00B40206" w:rsidRDefault="00B40206" w:rsidP="00B40206">
            <w:pPr>
              <w:spacing w:line="240" w:lineRule="auto"/>
              <w:ind w:firstLine="0"/>
              <w:jc w:val="right"/>
              <w:rPr>
                <w:rFonts w:ascii="Times New Roman" w:eastAsia="Times New Roman" w:hAnsi="Times New Roman" w:cs="Times New Roman"/>
                <w:b/>
                <w:bCs/>
                <w:i/>
                <w:iCs/>
                <w:sz w:val="20"/>
                <w:szCs w:val="20"/>
                <w:lang w:eastAsia="pl-PL"/>
              </w:rPr>
            </w:pPr>
          </w:p>
        </w:tc>
        <w:tc>
          <w:tcPr>
            <w:tcW w:w="856" w:type="dxa"/>
            <w:gridSpan w:val="2"/>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sz w:val="20"/>
                <w:szCs w:val="20"/>
                <w:lang w:eastAsia="pl-PL"/>
              </w:rPr>
            </w:pPr>
          </w:p>
        </w:tc>
        <w:tc>
          <w:tcPr>
            <w:tcW w:w="1298" w:type="dxa"/>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sz w:val="20"/>
                <w:szCs w:val="20"/>
                <w:lang w:eastAsia="pl-PL"/>
              </w:rPr>
            </w:pPr>
          </w:p>
        </w:tc>
      </w:tr>
      <w:tr w:rsidR="00B40206" w:rsidRPr="00B40206" w:rsidTr="00EE5A58">
        <w:trPr>
          <w:trHeight w:val="528"/>
        </w:trPr>
        <w:tc>
          <w:tcPr>
            <w:tcW w:w="935" w:type="dxa"/>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sz w:val="20"/>
                <w:szCs w:val="20"/>
                <w:lang w:eastAsia="pl-PL"/>
              </w:rPr>
            </w:pPr>
          </w:p>
        </w:tc>
        <w:tc>
          <w:tcPr>
            <w:tcW w:w="3636" w:type="dxa"/>
            <w:gridSpan w:val="2"/>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i/>
                <w:iCs/>
                <w:sz w:val="20"/>
                <w:szCs w:val="20"/>
                <w:lang w:eastAsia="pl-PL"/>
              </w:rPr>
            </w:pPr>
            <w:r w:rsidRPr="00B40206">
              <w:rPr>
                <w:rFonts w:ascii="Times New Roman" w:eastAsia="Times New Roman" w:hAnsi="Times New Roman" w:cs="Times New Roman"/>
                <w:i/>
                <w:iCs/>
                <w:sz w:val="20"/>
                <w:szCs w:val="20"/>
                <w:lang w:eastAsia="pl-PL"/>
              </w:rPr>
              <w:t>Liczba dni chorobowych 1 pracownika w roku</w:t>
            </w:r>
          </w:p>
        </w:tc>
        <w:tc>
          <w:tcPr>
            <w:tcW w:w="539" w:type="dxa"/>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i/>
                <w:iCs/>
                <w:sz w:val="20"/>
                <w:szCs w:val="20"/>
                <w:lang w:eastAsia="pl-PL"/>
              </w:rPr>
            </w:pPr>
          </w:p>
        </w:tc>
        <w:tc>
          <w:tcPr>
            <w:tcW w:w="818" w:type="dxa"/>
            <w:gridSpan w:val="2"/>
            <w:tcBorders>
              <w:top w:val="nil"/>
              <w:left w:val="nil"/>
              <w:bottom w:val="nil"/>
              <w:right w:val="nil"/>
            </w:tcBorders>
            <w:shd w:val="clear" w:color="auto" w:fill="auto"/>
            <w:hideMark/>
          </w:tcPr>
          <w:p w:rsidR="00B40206" w:rsidRPr="00B40206" w:rsidRDefault="00B40206" w:rsidP="00B40206">
            <w:pPr>
              <w:spacing w:line="240" w:lineRule="auto"/>
              <w:ind w:firstLine="0"/>
              <w:jc w:val="right"/>
              <w:rPr>
                <w:rFonts w:ascii="Times New Roman" w:eastAsia="Times New Roman" w:hAnsi="Times New Roman" w:cs="Times New Roman"/>
                <w:b/>
                <w:bCs/>
                <w:i/>
                <w:iCs/>
                <w:sz w:val="20"/>
                <w:szCs w:val="20"/>
                <w:lang w:eastAsia="pl-PL"/>
              </w:rPr>
            </w:pPr>
            <w:r w:rsidRPr="00B40206">
              <w:rPr>
                <w:rFonts w:ascii="Times New Roman" w:eastAsia="Times New Roman" w:hAnsi="Times New Roman" w:cs="Times New Roman"/>
                <w:b/>
                <w:bCs/>
                <w:i/>
                <w:iCs/>
                <w:sz w:val="20"/>
                <w:szCs w:val="20"/>
                <w:lang w:eastAsia="pl-PL"/>
              </w:rPr>
              <w:t>10</w:t>
            </w:r>
          </w:p>
        </w:tc>
        <w:tc>
          <w:tcPr>
            <w:tcW w:w="798" w:type="dxa"/>
            <w:gridSpan w:val="2"/>
            <w:tcBorders>
              <w:top w:val="nil"/>
              <w:left w:val="nil"/>
              <w:bottom w:val="nil"/>
              <w:right w:val="nil"/>
            </w:tcBorders>
            <w:shd w:val="clear" w:color="auto" w:fill="auto"/>
            <w:hideMark/>
          </w:tcPr>
          <w:p w:rsidR="00B40206" w:rsidRPr="00B40206" w:rsidRDefault="00B40206" w:rsidP="00B40206">
            <w:pPr>
              <w:spacing w:line="240" w:lineRule="auto"/>
              <w:ind w:firstLine="0"/>
              <w:jc w:val="right"/>
              <w:rPr>
                <w:rFonts w:ascii="Times New Roman" w:eastAsia="Times New Roman" w:hAnsi="Times New Roman" w:cs="Times New Roman"/>
                <w:b/>
                <w:bCs/>
                <w:i/>
                <w:iCs/>
                <w:sz w:val="20"/>
                <w:szCs w:val="20"/>
                <w:lang w:eastAsia="pl-PL"/>
              </w:rPr>
            </w:pPr>
          </w:p>
        </w:tc>
        <w:tc>
          <w:tcPr>
            <w:tcW w:w="856" w:type="dxa"/>
            <w:gridSpan w:val="2"/>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sz w:val="20"/>
                <w:szCs w:val="20"/>
                <w:lang w:eastAsia="pl-PL"/>
              </w:rPr>
            </w:pPr>
          </w:p>
        </w:tc>
        <w:tc>
          <w:tcPr>
            <w:tcW w:w="1298" w:type="dxa"/>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sz w:val="20"/>
                <w:szCs w:val="20"/>
                <w:lang w:eastAsia="pl-PL"/>
              </w:rPr>
            </w:pPr>
          </w:p>
        </w:tc>
      </w:tr>
      <w:tr w:rsidR="00B40206" w:rsidRPr="00B40206" w:rsidTr="00EE5A58">
        <w:trPr>
          <w:trHeight w:val="528"/>
        </w:trPr>
        <w:tc>
          <w:tcPr>
            <w:tcW w:w="935" w:type="dxa"/>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sz w:val="20"/>
                <w:szCs w:val="20"/>
                <w:lang w:eastAsia="pl-PL"/>
              </w:rPr>
            </w:pPr>
          </w:p>
        </w:tc>
        <w:tc>
          <w:tcPr>
            <w:tcW w:w="3636" w:type="dxa"/>
            <w:gridSpan w:val="2"/>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i/>
                <w:iCs/>
                <w:sz w:val="20"/>
                <w:szCs w:val="20"/>
                <w:lang w:eastAsia="pl-PL"/>
              </w:rPr>
            </w:pPr>
            <w:r w:rsidRPr="00B40206">
              <w:rPr>
                <w:rFonts w:ascii="Times New Roman" w:eastAsia="Times New Roman" w:hAnsi="Times New Roman" w:cs="Times New Roman"/>
                <w:i/>
                <w:iCs/>
                <w:sz w:val="20"/>
                <w:szCs w:val="20"/>
                <w:lang w:eastAsia="pl-PL"/>
              </w:rPr>
              <w:t>Liczba dni szkoleniowych 1 pracownika w roku</w:t>
            </w:r>
          </w:p>
        </w:tc>
        <w:tc>
          <w:tcPr>
            <w:tcW w:w="539" w:type="dxa"/>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i/>
                <w:iCs/>
                <w:sz w:val="20"/>
                <w:szCs w:val="20"/>
                <w:lang w:eastAsia="pl-PL"/>
              </w:rPr>
            </w:pPr>
          </w:p>
        </w:tc>
        <w:tc>
          <w:tcPr>
            <w:tcW w:w="818" w:type="dxa"/>
            <w:gridSpan w:val="2"/>
            <w:tcBorders>
              <w:top w:val="nil"/>
              <w:left w:val="nil"/>
              <w:bottom w:val="nil"/>
              <w:right w:val="nil"/>
            </w:tcBorders>
            <w:shd w:val="clear" w:color="auto" w:fill="auto"/>
            <w:hideMark/>
          </w:tcPr>
          <w:p w:rsidR="00B40206" w:rsidRPr="00B40206" w:rsidRDefault="00B40206" w:rsidP="00B40206">
            <w:pPr>
              <w:spacing w:line="240" w:lineRule="auto"/>
              <w:ind w:firstLine="0"/>
              <w:jc w:val="right"/>
              <w:rPr>
                <w:rFonts w:ascii="Times New Roman" w:eastAsia="Times New Roman" w:hAnsi="Times New Roman" w:cs="Times New Roman"/>
                <w:b/>
                <w:bCs/>
                <w:i/>
                <w:iCs/>
                <w:sz w:val="20"/>
                <w:szCs w:val="20"/>
                <w:lang w:eastAsia="pl-PL"/>
              </w:rPr>
            </w:pPr>
            <w:r w:rsidRPr="00B40206">
              <w:rPr>
                <w:rFonts w:ascii="Times New Roman" w:eastAsia="Times New Roman" w:hAnsi="Times New Roman" w:cs="Times New Roman"/>
                <w:b/>
                <w:bCs/>
                <w:i/>
                <w:iCs/>
                <w:sz w:val="20"/>
                <w:szCs w:val="20"/>
                <w:lang w:eastAsia="pl-PL"/>
              </w:rPr>
              <w:t>7</w:t>
            </w:r>
          </w:p>
        </w:tc>
        <w:tc>
          <w:tcPr>
            <w:tcW w:w="798" w:type="dxa"/>
            <w:gridSpan w:val="2"/>
            <w:tcBorders>
              <w:top w:val="nil"/>
              <w:left w:val="nil"/>
              <w:bottom w:val="nil"/>
              <w:right w:val="nil"/>
            </w:tcBorders>
            <w:shd w:val="clear" w:color="auto" w:fill="auto"/>
            <w:hideMark/>
          </w:tcPr>
          <w:p w:rsidR="00B40206" w:rsidRPr="00B40206" w:rsidRDefault="00B40206" w:rsidP="00B40206">
            <w:pPr>
              <w:spacing w:line="240" w:lineRule="auto"/>
              <w:ind w:firstLine="0"/>
              <w:jc w:val="right"/>
              <w:rPr>
                <w:rFonts w:ascii="Times New Roman" w:eastAsia="Times New Roman" w:hAnsi="Times New Roman" w:cs="Times New Roman"/>
                <w:b/>
                <w:bCs/>
                <w:i/>
                <w:iCs/>
                <w:sz w:val="20"/>
                <w:szCs w:val="20"/>
                <w:lang w:eastAsia="pl-PL"/>
              </w:rPr>
            </w:pPr>
          </w:p>
        </w:tc>
        <w:tc>
          <w:tcPr>
            <w:tcW w:w="856" w:type="dxa"/>
            <w:gridSpan w:val="2"/>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sz w:val="20"/>
                <w:szCs w:val="20"/>
                <w:lang w:eastAsia="pl-PL"/>
              </w:rPr>
            </w:pPr>
          </w:p>
        </w:tc>
        <w:tc>
          <w:tcPr>
            <w:tcW w:w="1298" w:type="dxa"/>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sz w:val="20"/>
                <w:szCs w:val="20"/>
                <w:lang w:eastAsia="pl-PL"/>
              </w:rPr>
            </w:pPr>
          </w:p>
        </w:tc>
      </w:tr>
      <w:tr w:rsidR="00B40206" w:rsidRPr="00B40206" w:rsidTr="00EE5A58">
        <w:trPr>
          <w:trHeight w:val="264"/>
        </w:trPr>
        <w:tc>
          <w:tcPr>
            <w:tcW w:w="935" w:type="dxa"/>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sz w:val="20"/>
                <w:szCs w:val="20"/>
                <w:lang w:eastAsia="pl-PL"/>
              </w:rPr>
            </w:pPr>
          </w:p>
        </w:tc>
        <w:tc>
          <w:tcPr>
            <w:tcW w:w="3636" w:type="dxa"/>
            <w:gridSpan w:val="2"/>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sz w:val="20"/>
                <w:szCs w:val="20"/>
                <w:lang w:eastAsia="pl-PL"/>
              </w:rPr>
            </w:pPr>
          </w:p>
        </w:tc>
        <w:tc>
          <w:tcPr>
            <w:tcW w:w="539" w:type="dxa"/>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sz w:val="20"/>
                <w:szCs w:val="20"/>
                <w:lang w:eastAsia="pl-PL"/>
              </w:rPr>
            </w:pPr>
          </w:p>
        </w:tc>
        <w:tc>
          <w:tcPr>
            <w:tcW w:w="818" w:type="dxa"/>
            <w:gridSpan w:val="2"/>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sz w:val="20"/>
                <w:szCs w:val="20"/>
                <w:lang w:eastAsia="pl-PL"/>
              </w:rPr>
            </w:pPr>
          </w:p>
        </w:tc>
        <w:tc>
          <w:tcPr>
            <w:tcW w:w="798" w:type="dxa"/>
            <w:gridSpan w:val="2"/>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sz w:val="20"/>
                <w:szCs w:val="20"/>
                <w:lang w:eastAsia="pl-PL"/>
              </w:rPr>
            </w:pPr>
          </w:p>
        </w:tc>
        <w:tc>
          <w:tcPr>
            <w:tcW w:w="856" w:type="dxa"/>
            <w:gridSpan w:val="2"/>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sz w:val="20"/>
                <w:szCs w:val="20"/>
                <w:lang w:eastAsia="pl-PL"/>
              </w:rPr>
            </w:pPr>
          </w:p>
        </w:tc>
        <w:tc>
          <w:tcPr>
            <w:tcW w:w="1298" w:type="dxa"/>
            <w:tcBorders>
              <w:top w:val="nil"/>
              <w:left w:val="nil"/>
              <w:bottom w:val="nil"/>
              <w:right w:val="nil"/>
            </w:tcBorders>
            <w:shd w:val="clear" w:color="auto" w:fill="auto"/>
            <w:hideMark/>
          </w:tcPr>
          <w:p w:rsidR="00B40206" w:rsidRPr="00B40206" w:rsidRDefault="00B40206" w:rsidP="00B40206">
            <w:pPr>
              <w:spacing w:line="240" w:lineRule="auto"/>
              <w:ind w:firstLine="0"/>
              <w:rPr>
                <w:rFonts w:ascii="Times New Roman" w:eastAsia="Times New Roman" w:hAnsi="Times New Roman" w:cs="Times New Roman"/>
                <w:sz w:val="20"/>
                <w:szCs w:val="20"/>
                <w:lang w:eastAsia="pl-PL"/>
              </w:rPr>
            </w:pPr>
          </w:p>
        </w:tc>
      </w:tr>
      <w:tr w:rsidR="00B40206" w:rsidRPr="00B40206" w:rsidTr="00EE5A58">
        <w:trPr>
          <w:trHeight w:val="528"/>
        </w:trPr>
        <w:tc>
          <w:tcPr>
            <w:tcW w:w="3636"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b/>
                <w:bCs/>
                <w:sz w:val="20"/>
                <w:szCs w:val="20"/>
                <w:u w:val="single"/>
                <w:lang w:eastAsia="pl-PL"/>
              </w:rPr>
            </w:pPr>
            <w:r w:rsidRPr="00B40206">
              <w:rPr>
                <w:rFonts w:ascii="Times New Roman" w:eastAsia="Times New Roman" w:hAnsi="Times New Roman" w:cs="Arial"/>
                <w:b/>
                <w:bCs/>
                <w:sz w:val="20"/>
                <w:szCs w:val="20"/>
                <w:u w:val="single"/>
                <w:lang w:eastAsia="pl-PL"/>
              </w:rPr>
              <w:t xml:space="preserve">Liczba roboczogodzin oferowanych w roku przez 1 pracownika </w:t>
            </w:r>
          </w:p>
        </w:tc>
        <w:tc>
          <w:tcPr>
            <w:tcW w:w="539" w:type="dxa"/>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b/>
                <w:bCs/>
                <w:sz w:val="20"/>
                <w:szCs w:val="20"/>
                <w:u w:val="single"/>
                <w:lang w:eastAsia="pl-PL"/>
              </w:rPr>
            </w:pPr>
          </w:p>
        </w:tc>
        <w:tc>
          <w:tcPr>
            <w:tcW w:w="818"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b/>
                <w:bCs/>
                <w:sz w:val="20"/>
                <w:szCs w:val="20"/>
                <w:lang w:eastAsia="pl-PL"/>
              </w:rPr>
            </w:pPr>
            <w:r w:rsidRPr="00B40206">
              <w:rPr>
                <w:rFonts w:ascii="Times New Roman" w:eastAsia="Times New Roman" w:hAnsi="Times New Roman" w:cs="Arial"/>
                <w:b/>
                <w:bCs/>
                <w:sz w:val="20"/>
                <w:szCs w:val="20"/>
                <w:lang w:eastAsia="pl-PL"/>
              </w:rPr>
              <w:t>1463</w:t>
            </w:r>
          </w:p>
        </w:tc>
        <w:tc>
          <w:tcPr>
            <w:tcW w:w="798"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b/>
                <w:bCs/>
                <w:sz w:val="20"/>
                <w:szCs w:val="20"/>
                <w:lang w:eastAsia="pl-PL"/>
              </w:rPr>
            </w:pPr>
          </w:p>
        </w:tc>
        <w:tc>
          <w:tcPr>
            <w:tcW w:w="856"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20"/>
                <w:szCs w:val="20"/>
                <w:lang w:eastAsia="pl-PL"/>
              </w:rPr>
            </w:pPr>
          </w:p>
        </w:tc>
        <w:tc>
          <w:tcPr>
            <w:tcW w:w="1298"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20"/>
                <w:szCs w:val="20"/>
                <w:lang w:eastAsia="pl-PL"/>
              </w:rPr>
            </w:pPr>
          </w:p>
        </w:tc>
      </w:tr>
      <w:tr w:rsidR="00B40206" w:rsidRPr="00B40206" w:rsidTr="00EE5A58">
        <w:trPr>
          <w:trHeight w:val="528"/>
        </w:trPr>
        <w:tc>
          <w:tcPr>
            <w:tcW w:w="3636"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b/>
                <w:bCs/>
                <w:sz w:val="20"/>
                <w:szCs w:val="20"/>
                <w:u w:val="single"/>
                <w:lang w:eastAsia="pl-PL"/>
              </w:rPr>
            </w:pPr>
            <w:r w:rsidRPr="00B40206">
              <w:rPr>
                <w:rFonts w:ascii="Times New Roman" w:eastAsia="Times New Roman" w:hAnsi="Times New Roman" w:cs="Arial"/>
                <w:b/>
                <w:bCs/>
                <w:sz w:val="20"/>
                <w:szCs w:val="20"/>
                <w:u w:val="single"/>
                <w:lang w:eastAsia="pl-PL"/>
              </w:rPr>
              <w:t>Roczna pracochłonność zadań obszaru (wg wykazu)</w:t>
            </w:r>
          </w:p>
        </w:tc>
        <w:tc>
          <w:tcPr>
            <w:tcW w:w="539" w:type="dxa"/>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b/>
                <w:bCs/>
                <w:sz w:val="20"/>
                <w:szCs w:val="20"/>
                <w:u w:val="single"/>
                <w:lang w:eastAsia="pl-PL"/>
              </w:rPr>
            </w:pPr>
          </w:p>
        </w:tc>
        <w:tc>
          <w:tcPr>
            <w:tcW w:w="818"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i/>
                <w:iCs/>
                <w:sz w:val="20"/>
                <w:szCs w:val="20"/>
                <w:lang w:eastAsia="pl-PL"/>
              </w:rPr>
            </w:pPr>
            <w:r w:rsidRPr="00B40206">
              <w:rPr>
                <w:rFonts w:ascii="Times New Roman" w:eastAsia="Times New Roman" w:hAnsi="Times New Roman" w:cs="Arial"/>
                <w:i/>
                <w:iCs/>
                <w:sz w:val="20"/>
                <w:szCs w:val="20"/>
                <w:lang w:eastAsia="pl-PL"/>
              </w:rPr>
              <w:t>21500</w:t>
            </w:r>
          </w:p>
        </w:tc>
        <w:tc>
          <w:tcPr>
            <w:tcW w:w="798"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i/>
                <w:iCs/>
                <w:sz w:val="20"/>
                <w:szCs w:val="20"/>
                <w:lang w:eastAsia="pl-PL"/>
              </w:rPr>
            </w:pPr>
          </w:p>
        </w:tc>
        <w:tc>
          <w:tcPr>
            <w:tcW w:w="856"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20"/>
                <w:szCs w:val="20"/>
                <w:lang w:eastAsia="pl-PL"/>
              </w:rPr>
            </w:pPr>
          </w:p>
        </w:tc>
        <w:tc>
          <w:tcPr>
            <w:tcW w:w="1298"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20"/>
                <w:szCs w:val="20"/>
                <w:lang w:eastAsia="pl-PL"/>
              </w:rPr>
            </w:pPr>
          </w:p>
        </w:tc>
      </w:tr>
      <w:tr w:rsidR="00B40206" w:rsidRPr="00B40206" w:rsidTr="00EE5A58">
        <w:trPr>
          <w:trHeight w:val="264"/>
        </w:trPr>
        <w:tc>
          <w:tcPr>
            <w:tcW w:w="3636"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20"/>
                <w:szCs w:val="20"/>
                <w:lang w:eastAsia="pl-PL"/>
              </w:rPr>
            </w:pPr>
          </w:p>
        </w:tc>
        <w:tc>
          <w:tcPr>
            <w:tcW w:w="539" w:type="dxa"/>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20"/>
                <w:szCs w:val="20"/>
                <w:lang w:eastAsia="pl-PL"/>
              </w:rPr>
            </w:pPr>
          </w:p>
        </w:tc>
        <w:tc>
          <w:tcPr>
            <w:tcW w:w="818"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20"/>
                <w:szCs w:val="20"/>
                <w:lang w:eastAsia="pl-PL"/>
              </w:rPr>
            </w:pPr>
          </w:p>
        </w:tc>
        <w:tc>
          <w:tcPr>
            <w:tcW w:w="798"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20"/>
                <w:szCs w:val="20"/>
                <w:lang w:eastAsia="pl-PL"/>
              </w:rPr>
            </w:pPr>
          </w:p>
        </w:tc>
        <w:tc>
          <w:tcPr>
            <w:tcW w:w="856"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20"/>
                <w:szCs w:val="20"/>
                <w:lang w:eastAsia="pl-PL"/>
              </w:rPr>
            </w:pPr>
          </w:p>
        </w:tc>
        <w:tc>
          <w:tcPr>
            <w:tcW w:w="1298"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20"/>
                <w:szCs w:val="20"/>
                <w:lang w:eastAsia="pl-PL"/>
              </w:rPr>
            </w:pPr>
          </w:p>
        </w:tc>
      </w:tr>
      <w:tr w:rsidR="00B40206" w:rsidRPr="00B40206" w:rsidTr="00EE5A58">
        <w:trPr>
          <w:trHeight w:val="84"/>
        </w:trPr>
        <w:tc>
          <w:tcPr>
            <w:tcW w:w="3636"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20"/>
                <w:szCs w:val="20"/>
                <w:lang w:eastAsia="pl-PL"/>
              </w:rPr>
            </w:pPr>
          </w:p>
        </w:tc>
        <w:tc>
          <w:tcPr>
            <w:tcW w:w="539" w:type="dxa"/>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20"/>
                <w:szCs w:val="20"/>
                <w:lang w:eastAsia="pl-PL"/>
              </w:rPr>
            </w:pPr>
          </w:p>
        </w:tc>
        <w:tc>
          <w:tcPr>
            <w:tcW w:w="818"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20"/>
                <w:szCs w:val="20"/>
                <w:lang w:eastAsia="pl-PL"/>
              </w:rPr>
            </w:pPr>
          </w:p>
        </w:tc>
        <w:tc>
          <w:tcPr>
            <w:tcW w:w="798"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20"/>
                <w:szCs w:val="20"/>
                <w:lang w:eastAsia="pl-PL"/>
              </w:rPr>
            </w:pPr>
          </w:p>
        </w:tc>
        <w:tc>
          <w:tcPr>
            <w:tcW w:w="856"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20"/>
                <w:szCs w:val="20"/>
                <w:lang w:eastAsia="pl-PL"/>
              </w:rPr>
            </w:pPr>
          </w:p>
        </w:tc>
        <w:tc>
          <w:tcPr>
            <w:tcW w:w="1298"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20"/>
                <w:szCs w:val="20"/>
                <w:lang w:eastAsia="pl-PL"/>
              </w:rPr>
            </w:pPr>
          </w:p>
        </w:tc>
      </w:tr>
      <w:tr w:rsidR="00B40206" w:rsidRPr="00B40206" w:rsidTr="00EE5A58">
        <w:trPr>
          <w:trHeight w:val="264"/>
        </w:trPr>
        <w:tc>
          <w:tcPr>
            <w:tcW w:w="3636"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20"/>
                <w:szCs w:val="20"/>
                <w:u w:val="single"/>
                <w:lang w:eastAsia="pl-PL"/>
              </w:rPr>
            </w:pPr>
            <w:r w:rsidRPr="00B40206">
              <w:rPr>
                <w:rFonts w:ascii="Times New Roman" w:eastAsia="Times New Roman" w:hAnsi="Times New Roman" w:cs="Arial"/>
                <w:sz w:val="20"/>
                <w:szCs w:val="20"/>
                <w:u w:val="single"/>
                <w:lang w:eastAsia="pl-PL"/>
              </w:rPr>
              <w:t>Wyliczona liczba personelu</w:t>
            </w:r>
          </w:p>
        </w:tc>
        <w:tc>
          <w:tcPr>
            <w:tcW w:w="539" w:type="dxa"/>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20"/>
                <w:szCs w:val="20"/>
                <w:u w:val="single"/>
                <w:lang w:eastAsia="pl-PL"/>
              </w:rPr>
            </w:pPr>
          </w:p>
        </w:tc>
        <w:tc>
          <w:tcPr>
            <w:tcW w:w="818"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20"/>
                <w:szCs w:val="20"/>
                <w:lang w:eastAsia="pl-PL"/>
              </w:rPr>
            </w:pPr>
            <w:r w:rsidRPr="00B40206">
              <w:rPr>
                <w:rFonts w:ascii="Times New Roman" w:eastAsia="Times New Roman" w:hAnsi="Times New Roman" w:cs="Arial"/>
                <w:sz w:val="20"/>
                <w:szCs w:val="20"/>
                <w:lang w:eastAsia="pl-PL"/>
              </w:rPr>
              <w:t>14,70</w:t>
            </w:r>
          </w:p>
        </w:tc>
        <w:tc>
          <w:tcPr>
            <w:tcW w:w="798"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20"/>
                <w:szCs w:val="20"/>
                <w:lang w:eastAsia="pl-PL"/>
              </w:rPr>
            </w:pPr>
          </w:p>
        </w:tc>
        <w:tc>
          <w:tcPr>
            <w:tcW w:w="856"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20"/>
                <w:szCs w:val="20"/>
                <w:lang w:eastAsia="pl-PL"/>
              </w:rPr>
            </w:pPr>
          </w:p>
        </w:tc>
        <w:tc>
          <w:tcPr>
            <w:tcW w:w="1298"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20"/>
                <w:szCs w:val="20"/>
                <w:lang w:eastAsia="pl-PL"/>
              </w:rPr>
            </w:pPr>
          </w:p>
        </w:tc>
      </w:tr>
      <w:tr w:rsidR="00B40206" w:rsidRPr="00B40206" w:rsidTr="00EE5A58">
        <w:trPr>
          <w:trHeight w:val="264"/>
        </w:trPr>
        <w:tc>
          <w:tcPr>
            <w:tcW w:w="3636"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20"/>
                <w:szCs w:val="20"/>
                <w:lang w:eastAsia="pl-PL"/>
              </w:rPr>
            </w:pPr>
          </w:p>
        </w:tc>
        <w:tc>
          <w:tcPr>
            <w:tcW w:w="539" w:type="dxa"/>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20"/>
                <w:szCs w:val="20"/>
                <w:lang w:eastAsia="pl-PL"/>
              </w:rPr>
            </w:pPr>
          </w:p>
        </w:tc>
        <w:tc>
          <w:tcPr>
            <w:tcW w:w="818"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20"/>
                <w:szCs w:val="20"/>
                <w:lang w:eastAsia="pl-PL"/>
              </w:rPr>
            </w:pPr>
          </w:p>
        </w:tc>
        <w:tc>
          <w:tcPr>
            <w:tcW w:w="798"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20"/>
                <w:szCs w:val="20"/>
                <w:lang w:eastAsia="pl-PL"/>
              </w:rPr>
            </w:pPr>
          </w:p>
        </w:tc>
        <w:tc>
          <w:tcPr>
            <w:tcW w:w="856"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20"/>
                <w:szCs w:val="20"/>
                <w:lang w:eastAsia="pl-PL"/>
              </w:rPr>
            </w:pPr>
          </w:p>
        </w:tc>
        <w:tc>
          <w:tcPr>
            <w:tcW w:w="1298"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20"/>
                <w:szCs w:val="20"/>
                <w:lang w:eastAsia="pl-PL"/>
              </w:rPr>
            </w:pPr>
          </w:p>
        </w:tc>
      </w:tr>
      <w:tr w:rsidR="00B40206" w:rsidRPr="00B40206" w:rsidTr="00EE5A58">
        <w:trPr>
          <w:trHeight w:val="264"/>
        </w:trPr>
        <w:tc>
          <w:tcPr>
            <w:tcW w:w="3636"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b/>
                <w:bCs/>
                <w:sz w:val="20"/>
                <w:szCs w:val="20"/>
                <w:u w:val="single"/>
                <w:lang w:eastAsia="pl-PL"/>
              </w:rPr>
            </w:pPr>
            <w:r w:rsidRPr="00B40206">
              <w:rPr>
                <w:rFonts w:ascii="Times New Roman" w:eastAsia="Times New Roman" w:hAnsi="Times New Roman" w:cs="Arial"/>
                <w:b/>
                <w:bCs/>
                <w:sz w:val="20"/>
                <w:szCs w:val="20"/>
                <w:u w:val="single"/>
                <w:lang w:eastAsia="pl-PL"/>
              </w:rPr>
              <w:t>Minimalna liczba etatów personelu</w:t>
            </w:r>
          </w:p>
        </w:tc>
        <w:tc>
          <w:tcPr>
            <w:tcW w:w="539" w:type="dxa"/>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b/>
                <w:bCs/>
                <w:sz w:val="20"/>
                <w:szCs w:val="20"/>
                <w:u w:val="single"/>
                <w:lang w:eastAsia="pl-PL"/>
              </w:rPr>
            </w:pPr>
          </w:p>
        </w:tc>
        <w:tc>
          <w:tcPr>
            <w:tcW w:w="818"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b/>
                <w:bCs/>
                <w:sz w:val="20"/>
                <w:szCs w:val="20"/>
                <w:lang w:eastAsia="pl-PL"/>
              </w:rPr>
            </w:pPr>
            <w:r w:rsidRPr="00B40206">
              <w:rPr>
                <w:rFonts w:ascii="Times New Roman" w:eastAsia="Times New Roman" w:hAnsi="Times New Roman" w:cs="Arial"/>
                <w:b/>
                <w:bCs/>
                <w:sz w:val="20"/>
                <w:szCs w:val="20"/>
                <w:lang w:eastAsia="pl-PL"/>
              </w:rPr>
              <w:t>15,00</w:t>
            </w:r>
          </w:p>
        </w:tc>
        <w:tc>
          <w:tcPr>
            <w:tcW w:w="798"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b/>
                <w:bCs/>
                <w:sz w:val="20"/>
                <w:szCs w:val="20"/>
                <w:lang w:eastAsia="pl-PL"/>
              </w:rPr>
            </w:pPr>
          </w:p>
        </w:tc>
        <w:tc>
          <w:tcPr>
            <w:tcW w:w="856"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20"/>
                <w:szCs w:val="20"/>
                <w:lang w:eastAsia="pl-PL"/>
              </w:rPr>
            </w:pPr>
          </w:p>
        </w:tc>
        <w:tc>
          <w:tcPr>
            <w:tcW w:w="1298" w:type="dxa"/>
            <w:gridSpan w:val="2"/>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20"/>
                <w:szCs w:val="20"/>
                <w:lang w:eastAsia="pl-PL"/>
              </w:rPr>
            </w:pPr>
          </w:p>
        </w:tc>
      </w:tr>
      <w:tr w:rsidR="00B40206" w:rsidRPr="00B40206" w:rsidTr="00EE5A58">
        <w:trPr>
          <w:trHeight w:val="187"/>
        </w:trPr>
        <w:tc>
          <w:tcPr>
            <w:tcW w:w="3636" w:type="dxa"/>
            <w:gridSpan w:val="2"/>
            <w:tcBorders>
              <w:top w:val="nil"/>
              <w:left w:val="nil"/>
              <w:bottom w:val="single" w:sz="4" w:space="0" w:color="auto"/>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20"/>
                <w:szCs w:val="20"/>
                <w:lang w:eastAsia="pl-PL"/>
              </w:rPr>
            </w:pPr>
          </w:p>
        </w:tc>
        <w:tc>
          <w:tcPr>
            <w:tcW w:w="539" w:type="dxa"/>
            <w:tcBorders>
              <w:top w:val="nil"/>
              <w:left w:val="nil"/>
              <w:bottom w:val="single" w:sz="4" w:space="0" w:color="auto"/>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20"/>
                <w:szCs w:val="20"/>
                <w:lang w:eastAsia="pl-PL"/>
              </w:rPr>
            </w:pPr>
          </w:p>
        </w:tc>
        <w:tc>
          <w:tcPr>
            <w:tcW w:w="818" w:type="dxa"/>
            <w:gridSpan w:val="2"/>
            <w:tcBorders>
              <w:top w:val="nil"/>
              <w:left w:val="nil"/>
              <w:bottom w:val="single" w:sz="4" w:space="0" w:color="auto"/>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20"/>
                <w:szCs w:val="20"/>
                <w:lang w:eastAsia="pl-PL"/>
              </w:rPr>
            </w:pPr>
          </w:p>
        </w:tc>
        <w:tc>
          <w:tcPr>
            <w:tcW w:w="798" w:type="dxa"/>
            <w:gridSpan w:val="2"/>
            <w:tcBorders>
              <w:top w:val="nil"/>
              <w:left w:val="nil"/>
              <w:bottom w:val="single" w:sz="4" w:space="0" w:color="auto"/>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b/>
                <w:bCs/>
                <w:sz w:val="20"/>
                <w:szCs w:val="20"/>
                <w:lang w:eastAsia="pl-PL"/>
              </w:rPr>
            </w:pPr>
          </w:p>
        </w:tc>
        <w:tc>
          <w:tcPr>
            <w:tcW w:w="856" w:type="dxa"/>
            <w:gridSpan w:val="2"/>
            <w:tcBorders>
              <w:top w:val="nil"/>
              <w:left w:val="nil"/>
              <w:bottom w:val="single" w:sz="4" w:space="0" w:color="auto"/>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b/>
                <w:bCs/>
                <w:sz w:val="20"/>
                <w:szCs w:val="20"/>
                <w:lang w:eastAsia="pl-PL"/>
              </w:rPr>
            </w:pPr>
          </w:p>
        </w:tc>
        <w:tc>
          <w:tcPr>
            <w:tcW w:w="1298" w:type="dxa"/>
            <w:gridSpan w:val="2"/>
            <w:tcBorders>
              <w:top w:val="nil"/>
              <w:left w:val="nil"/>
              <w:bottom w:val="single" w:sz="4" w:space="0" w:color="auto"/>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i/>
                <w:iCs/>
                <w:sz w:val="16"/>
                <w:szCs w:val="16"/>
                <w:lang w:eastAsia="pl-PL"/>
              </w:rPr>
            </w:pPr>
            <w:r w:rsidRPr="00B40206">
              <w:rPr>
                <w:rFonts w:ascii="Times New Roman" w:eastAsia="Times New Roman" w:hAnsi="Times New Roman" w:cs="Arial"/>
                <w:i/>
                <w:iCs/>
                <w:sz w:val="16"/>
                <w:szCs w:val="16"/>
                <w:lang w:eastAsia="pl-PL"/>
              </w:rPr>
              <w:t> </w:t>
            </w:r>
          </w:p>
        </w:tc>
      </w:tr>
    </w:tbl>
    <w:p w:rsidR="00B40206" w:rsidRPr="00B40206" w:rsidRDefault="00B40206" w:rsidP="00B40206">
      <w:pPr>
        <w:spacing w:line="240" w:lineRule="auto"/>
        <w:ind w:firstLine="0"/>
        <w:jc w:val="both"/>
        <w:rPr>
          <w:rFonts w:ascii="Times New Roman" w:eastAsia="Calibri" w:hAnsi="Times New Roman" w:cs="Times New Roman"/>
          <w:bCs/>
        </w:rPr>
      </w:pPr>
    </w:p>
    <w:tbl>
      <w:tblPr>
        <w:tblW w:w="8926" w:type="dxa"/>
        <w:tblLayout w:type="fixed"/>
        <w:tblCellMar>
          <w:left w:w="70" w:type="dxa"/>
          <w:right w:w="70" w:type="dxa"/>
        </w:tblCellMar>
        <w:tblLook w:val="04A0" w:firstRow="1" w:lastRow="0" w:firstColumn="1" w:lastColumn="0" w:noHBand="0" w:noVBand="1"/>
      </w:tblPr>
      <w:tblGrid>
        <w:gridCol w:w="343"/>
        <w:gridCol w:w="3454"/>
        <w:gridCol w:w="539"/>
        <w:gridCol w:w="818"/>
        <w:gridCol w:w="798"/>
        <w:gridCol w:w="2974"/>
      </w:tblGrid>
      <w:tr w:rsidR="00B40206" w:rsidRPr="00B40206" w:rsidTr="005A77F3">
        <w:trPr>
          <w:trHeight w:val="1129"/>
        </w:trPr>
        <w:tc>
          <w:tcPr>
            <w:tcW w:w="343" w:type="dxa"/>
            <w:tcBorders>
              <w:top w:val="nil"/>
              <w:left w:val="single" w:sz="4" w:space="0" w:color="auto"/>
              <w:bottom w:val="single" w:sz="4" w:space="0" w:color="auto"/>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14"/>
                <w:szCs w:val="14"/>
                <w:lang w:eastAsia="pl-PL"/>
              </w:rPr>
            </w:pPr>
          </w:p>
        </w:tc>
        <w:tc>
          <w:tcPr>
            <w:tcW w:w="3454" w:type="dxa"/>
            <w:tcBorders>
              <w:top w:val="nil"/>
              <w:left w:val="nil"/>
              <w:bottom w:val="single" w:sz="4" w:space="0" w:color="auto"/>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14"/>
                <w:szCs w:val="14"/>
                <w:lang w:eastAsia="pl-PL"/>
              </w:rPr>
            </w:pPr>
          </w:p>
        </w:tc>
        <w:tc>
          <w:tcPr>
            <w:tcW w:w="539" w:type="dxa"/>
            <w:tcBorders>
              <w:top w:val="nil"/>
              <w:left w:val="nil"/>
              <w:bottom w:val="single" w:sz="4" w:space="0" w:color="auto"/>
              <w:right w:val="nil"/>
            </w:tcBorders>
            <w:shd w:val="clear" w:color="auto" w:fill="auto"/>
            <w:textDirection w:val="btLr"/>
            <w:vAlign w:val="center"/>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 xml:space="preserve">liczba </w:t>
            </w:r>
          </w:p>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czynności</w:t>
            </w:r>
          </w:p>
        </w:tc>
        <w:tc>
          <w:tcPr>
            <w:tcW w:w="818" w:type="dxa"/>
            <w:tcBorders>
              <w:top w:val="nil"/>
              <w:left w:val="nil"/>
              <w:bottom w:val="single" w:sz="4" w:space="0" w:color="auto"/>
              <w:right w:val="nil"/>
            </w:tcBorders>
            <w:shd w:val="clear" w:color="auto" w:fill="auto"/>
            <w:textDirection w:val="btLr"/>
            <w:vAlign w:val="center"/>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 xml:space="preserve">liczba godzin na </w:t>
            </w:r>
          </w:p>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jedną czynność</w:t>
            </w:r>
          </w:p>
        </w:tc>
        <w:tc>
          <w:tcPr>
            <w:tcW w:w="798" w:type="dxa"/>
            <w:tcBorders>
              <w:top w:val="nil"/>
              <w:left w:val="nil"/>
              <w:bottom w:val="single" w:sz="4" w:space="0" w:color="auto"/>
              <w:right w:val="nil"/>
            </w:tcBorders>
            <w:shd w:val="clear" w:color="auto" w:fill="auto"/>
            <w:textDirection w:val="btLr"/>
            <w:vAlign w:val="center"/>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Liczba godzin w roku</w:t>
            </w:r>
          </w:p>
        </w:tc>
        <w:tc>
          <w:tcPr>
            <w:tcW w:w="2974" w:type="dxa"/>
            <w:tcBorders>
              <w:top w:val="nil"/>
              <w:left w:val="nil"/>
              <w:bottom w:val="single" w:sz="4" w:space="0" w:color="auto"/>
              <w:right w:val="nil"/>
            </w:tcBorders>
            <w:shd w:val="clear" w:color="auto" w:fill="auto"/>
            <w:vAlign w:val="center"/>
            <w:hideMark/>
          </w:tcPr>
          <w:p w:rsidR="00B40206" w:rsidRPr="00B40206" w:rsidRDefault="00B40206" w:rsidP="00B40206">
            <w:pPr>
              <w:widowControl w:val="0"/>
              <w:autoSpaceDE w:val="0"/>
              <w:autoSpaceDN w:val="0"/>
              <w:adjustRightInd w:val="0"/>
              <w:spacing w:line="240" w:lineRule="auto"/>
              <w:ind w:firstLine="0"/>
              <w:jc w:val="center"/>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Opis</w:t>
            </w:r>
          </w:p>
        </w:tc>
      </w:tr>
      <w:tr w:rsidR="00B40206" w:rsidRPr="00B40206" w:rsidTr="005A77F3">
        <w:trPr>
          <w:trHeight w:val="576"/>
        </w:trPr>
        <w:tc>
          <w:tcPr>
            <w:tcW w:w="343" w:type="dxa"/>
            <w:tcBorders>
              <w:top w:val="nil"/>
              <w:left w:val="single" w:sz="4" w:space="0" w:color="auto"/>
              <w:bottom w:val="single" w:sz="4" w:space="0" w:color="auto"/>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1.</w:t>
            </w:r>
          </w:p>
        </w:tc>
        <w:tc>
          <w:tcPr>
            <w:tcW w:w="3454" w:type="dxa"/>
            <w:tcBorders>
              <w:top w:val="nil"/>
              <w:left w:val="nil"/>
              <w:bottom w:val="single" w:sz="4" w:space="0" w:color="auto"/>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Prowadzenie rejestru operatorów systemów BSP, w tym zatwierdzanie w rejestrze operatorów systemów bezzałogowych statków powietrznych profilów pilota BSP</w:t>
            </w:r>
          </w:p>
        </w:tc>
        <w:tc>
          <w:tcPr>
            <w:tcW w:w="539" w:type="dxa"/>
            <w:tcBorders>
              <w:top w:val="nil"/>
              <w:left w:val="nil"/>
              <w:bottom w:val="single" w:sz="4" w:space="0" w:color="auto"/>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30000</w:t>
            </w:r>
          </w:p>
        </w:tc>
        <w:tc>
          <w:tcPr>
            <w:tcW w:w="818" w:type="dxa"/>
            <w:tcBorders>
              <w:top w:val="nil"/>
              <w:left w:val="nil"/>
              <w:bottom w:val="single" w:sz="4" w:space="0" w:color="auto"/>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0,5</w:t>
            </w:r>
          </w:p>
        </w:tc>
        <w:tc>
          <w:tcPr>
            <w:tcW w:w="798" w:type="dxa"/>
            <w:tcBorders>
              <w:top w:val="nil"/>
              <w:left w:val="nil"/>
              <w:bottom w:val="single" w:sz="4" w:space="0" w:color="auto"/>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15000</w:t>
            </w:r>
          </w:p>
        </w:tc>
        <w:tc>
          <w:tcPr>
            <w:tcW w:w="2974" w:type="dxa"/>
            <w:tcBorders>
              <w:top w:val="nil"/>
              <w:left w:val="nil"/>
              <w:bottom w:val="single" w:sz="4" w:space="0" w:color="auto"/>
              <w:right w:val="nil"/>
            </w:tcBorders>
            <w:shd w:val="clear" w:color="auto" w:fill="auto"/>
            <w:tcMar>
              <w:left w:w="0" w:type="dxa"/>
              <w:right w:w="0" w:type="dxa"/>
            </w:tcMar>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 xml:space="preserve">Ok. 1500 osób podlegających sprawdzeniu w ciągu 3 miesięcy działania systemu </w:t>
            </w:r>
          </w:p>
        </w:tc>
      </w:tr>
      <w:tr w:rsidR="00B40206" w:rsidRPr="00B40206" w:rsidTr="005A77F3">
        <w:trPr>
          <w:trHeight w:val="768"/>
        </w:trPr>
        <w:tc>
          <w:tcPr>
            <w:tcW w:w="343" w:type="dxa"/>
            <w:tcBorders>
              <w:top w:val="nil"/>
              <w:left w:val="single" w:sz="4" w:space="0" w:color="auto"/>
              <w:bottom w:val="single" w:sz="4" w:space="0" w:color="auto"/>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2.</w:t>
            </w:r>
          </w:p>
        </w:tc>
        <w:tc>
          <w:tcPr>
            <w:tcW w:w="3454" w:type="dxa"/>
            <w:tcBorders>
              <w:top w:val="nil"/>
              <w:left w:val="nil"/>
              <w:bottom w:val="single" w:sz="4" w:space="0" w:color="auto"/>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Rozpatrywanie wniosków o zezwolenie na operację, o którym mowa w art. 12 rozporządzenia 2019/947</w:t>
            </w:r>
          </w:p>
        </w:tc>
        <w:tc>
          <w:tcPr>
            <w:tcW w:w="539" w:type="dxa"/>
            <w:tcBorders>
              <w:top w:val="nil"/>
              <w:left w:val="nil"/>
              <w:bottom w:val="single" w:sz="4" w:space="0" w:color="auto"/>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150</w:t>
            </w:r>
          </w:p>
        </w:tc>
        <w:tc>
          <w:tcPr>
            <w:tcW w:w="818" w:type="dxa"/>
            <w:tcBorders>
              <w:top w:val="nil"/>
              <w:left w:val="nil"/>
              <w:bottom w:val="single" w:sz="4" w:space="0" w:color="auto"/>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16</w:t>
            </w:r>
          </w:p>
        </w:tc>
        <w:tc>
          <w:tcPr>
            <w:tcW w:w="798" w:type="dxa"/>
            <w:tcBorders>
              <w:top w:val="nil"/>
              <w:left w:val="nil"/>
              <w:bottom w:val="single" w:sz="4" w:space="0" w:color="auto"/>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2400</w:t>
            </w:r>
          </w:p>
        </w:tc>
        <w:tc>
          <w:tcPr>
            <w:tcW w:w="2974" w:type="dxa"/>
            <w:tcBorders>
              <w:top w:val="nil"/>
              <w:left w:val="nil"/>
              <w:bottom w:val="single" w:sz="4" w:space="0" w:color="auto"/>
              <w:right w:val="nil"/>
            </w:tcBorders>
            <w:shd w:val="clear" w:color="auto" w:fill="auto"/>
            <w:tcMar>
              <w:left w:w="0" w:type="dxa"/>
              <w:right w:w="0" w:type="dxa"/>
            </w:tcMar>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Ok. 150 wniosków, co do których będzie przeprowadzone sprawdzenie wniosku i analiza</w:t>
            </w:r>
          </w:p>
        </w:tc>
      </w:tr>
      <w:tr w:rsidR="00B40206" w:rsidRPr="00B40206" w:rsidTr="005A77F3">
        <w:trPr>
          <w:trHeight w:val="768"/>
        </w:trPr>
        <w:tc>
          <w:tcPr>
            <w:tcW w:w="343" w:type="dxa"/>
            <w:tcBorders>
              <w:top w:val="nil"/>
              <w:left w:val="single" w:sz="4" w:space="0" w:color="auto"/>
              <w:bottom w:val="single" w:sz="4" w:space="0" w:color="auto"/>
              <w:right w:val="nil"/>
            </w:tcBorders>
            <w:shd w:val="clear" w:color="auto" w:fill="auto"/>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3.</w:t>
            </w:r>
          </w:p>
        </w:tc>
        <w:tc>
          <w:tcPr>
            <w:tcW w:w="3454" w:type="dxa"/>
            <w:tcBorders>
              <w:top w:val="nil"/>
              <w:left w:val="nil"/>
              <w:bottom w:val="single" w:sz="4" w:space="0" w:color="auto"/>
              <w:right w:val="nil"/>
            </w:tcBorders>
            <w:shd w:val="clear" w:color="auto" w:fill="auto"/>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Rozpatrywanie wniosków o certyfikat LUC</w:t>
            </w:r>
          </w:p>
        </w:tc>
        <w:tc>
          <w:tcPr>
            <w:tcW w:w="539" w:type="dxa"/>
            <w:tcBorders>
              <w:top w:val="nil"/>
              <w:left w:val="nil"/>
              <w:bottom w:val="single" w:sz="4" w:space="0" w:color="auto"/>
              <w:right w:val="nil"/>
            </w:tcBorders>
            <w:shd w:val="clear" w:color="auto" w:fill="auto"/>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10</w:t>
            </w:r>
          </w:p>
        </w:tc>
        <w:tc>
          <w:tcPr>
            <w:tcW w:w="818" w:type="dxa"/>
            <w:tcBorders>
              <w:top w:val="nil"/>
              <w:left w:val="nil"/>
              <w:bottom w:val="single" w:sz="4" w:space="0" w:color="auto"/>
              <w:right w:val="nil"/>
            </w:tcBorders>
            <w:shd w:val="clear" w:color="auto" w:fill="auto"/>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15</w:t>
            </w:r>
          </w:p>
        </w:tc>
        <w:tc>
          <w:tcPr>
            <w:tcW w:w="798" w:type="dxa"/>
            <w:tcBorders>
              <w:top w:val="nil"/>
              <w:left w:val="nil"/>
              <w:bottom w:val="single" w:sz="4" w:space="0" w:color="auto"/>
              <w:right w:val="nil"/>
            </w:tcBorders>
            <w:shd w:val="clear" w:color="auto" w:fill="auto"/>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150</w:t>
            </w:r>
          </w:p>
        </w:tc>
        <w:tc>
          <w:tcPr>
            <w:tcW w:w="2974" w:type="dxa"/>
            <w:tcBorders>
              <w:top w:val="nil"/>
              <w:left w:val="nil"/>
              <w:bottom w:val="single" w:sz="4" w:space="0" w:color="auto"/>
              <w:right w:val="nil"/>
            </w:tcBorders>
            <w:shd w:val="clear" w:color="auto" w:fill="auto"/>
            <w:tcMar>
              <w:left w:w="0" w:type="dxa"/>
              <w:right w:w="0" w:type="dxa"/>
            </w:tcMar>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14"/>
                <w:szCs w:val="14"/>
                <w:lang w:eastAsia="pl-PL"/>
              </w:rPr>
            </w:pPr>
          </w:p>
        </w:tc>
      </w:tr>
      <w:tr w:rsidR="00B40206" w:rsidRPr="00B40206" w:rsidTr="005A77F3">
        <w:trPr>
          <w:trHeight w:val="384"/>
        </w:trPr>
        <w:tc>
          <w:tcPr>
            <w:tcW w:w="343" w:type="dxa"/>
            <w:tcBorders>
              <w:top w:val="nil"/>
              <w:left w:val="single" w:sz="4" w:space="0" w:color="auto"/>
              <w:bottom w:val="single" w:sz="4" w:space="0" w:color="auto"/>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4.</w:t>
            </w:r>
          </w:p>
        </w:tc>
        <w:tc>
          <w:tcPr>
            <w:tcW w:w="3454" w:type="dxa"/>
            <w:tcBorders>
              <w:top w:val="nil"/>
              <w:left w:val="nil"/>
              <w:bottom w:val="single" w:sz="4" w:space="0" w:color="auto"/>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Przyjmowanie i analiza oraz potwierdzanie odbioru i kompletności oświadczeń dot. operacji w kategorii szczególnej wykonywanych w oparciu o krajowe lub unijne scenariusze standardowe</w:t>
            </w:r>
          </w:p>
        </w:tc>
        <w:tc>
          <w:tcPr>
            <w:tcW w:w="539" w:type="dxa"/>
            <w:tcBorders>
              <w:top w:val="nil"/>
              <w:left w:val="nil"/>
              <w:bottom w:val="single" w:sz="4" w:space="0" w:color="auto"/>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4000</w:t>
            </w:r>
          </w:p>
        </w:tc>
        <w:tc>
          <w:tcPr>
            <w:tcW w:w="818" w:type="dxa"/>
            <w:tcBorders>
              <w:top w:val="nil"/>
              <w:left w:val="nil"/>
              <w:bottom w:val="single" w:sz="4" w:space="0" w:color="auto"/>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0,25</w:t>
            </w:r>
          </w:p>
        </w:tc>
        <w:tc>
          <w:tcPr>
            <w:tcW w:w="798" w:type="dxa"/>
            <w:tcBorders>
              <w:top w:val="nil"/>
              <w:left w:val="nil"/>
              <w:bottom w:val="single" w:sz="4" w:space="0" w:color="auto"/>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1000</w:t>
            </w:r>
          </w:p>
        </w:tc>
        <w:tc>
          <w:tcPr>
            <w:tcW w:w="2974" w:type="dxa"/>
            <w:tcBorders>
              <w:top w:val="nil"/>
              <w:left w:val="nil"/>
              <w:bottom w:val="single" w:sz="4" w:space="0" w:color="auto"/>
              <w:right w:val="nil"/>
            </w:tcBorders>
            <w:shd w:val="clear" w:color="auto" w:fill="auto"/>
            <w:tcMar>
              <w:left w:w="0" w:type="dxa"/>
              <w:right w:w="0" w:type="dxa"/>
            </w:tcMar>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Ok. 4000 wniosków co do których będzie przeprowadzone sprawdzenie wniosku i analiza</w:t>
            </w:r>
          </w:p>
        </w:tc>
      </w:tr>
      <w:tr w:rsidR="00B40206" w:rsidRPr="00B40206" w:rsidTr="005A77F3">
        <w:trPr>
          <w:trHeight w:val="384"/>
        </w:trPr>
        <w:tc>
          <w:tcPr>
            <w:tcW w:w="343" w:type="dxa"/>
            <w:tcBorders>
              <w:top w:val="nil"/>
              <w:left w:val="single" w:sz="4" w:space="0" w:color="auto"/>
              <w:bottom w:val="single" w:sz="4" w:space="0" w:color="auto"/>
              <w:right w:val="nil"/>
            </w:tcBorders>
            <w:shd w:val="clear" w:color="auto" w:fill="auto"/>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5.</w:t>
            </w:r>
          </w:p>
        </w:tc>
        <w:tc>
          <w:tcPr>
            <w:tcW w:w="3454" w:type="dxa"/>
            <w:tcBorders>
              <w:top w:val="nil"/>
              <w:left w:val="nil"/>
              <w:bottom w:val="single" w:sz="4" w:space="0" w:color="auto"/>
              <w:right w:val="nil"/>
            </w:tcBorders>
            <w:shd w:val="clear" w:color="auto" w:fill="auto"/>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Przyjmowanie i analiza oraz wydawanie decyzji adm. dot. wyznaczonych podmiotów</w:t>
            </w:r>
          </w:p>
        </w:tc>
        <w:tc>
          <w:tcPr>
            <w:tcW w:w="539" w:type="dxa"/>
            <w:tcBorders>
              <w:top w:val="nil"/>
              <w:left w:val="nil"/>
              <w:bottom w:val="single" w:sz="4" w:space="0" w:color="auto"/>
              <w:right w:val="nil"/>
            </w:tcBorders>
            <w:shd w:val="clear" w:color="auto" w:fill="auto"/>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150</w:t>
            </w:r>
          </w:p>
        </w:tc>
        <w:tc>
          <w:tcPr>
            <w:tcW w:w="818" w:type="dxa"/>
            <w:tcBorders>
              <w:top w:val="nil"/>
              <w:left w:val="nil"/>
              <w:bottom w:val="single" w:sz="4" w:space="0" w:color="auto"/>
              <w:right w:val="nil"/>
            </w:tcBorders>
            <w:shd w:val="clear" w:color="auto" w:fill="auto"/>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2</w:t>
            </w:r>
          </w:p>
        </w:tc>
        <w:tc>
          <w:tcPr>
            <w:tcW w:w="798" w:type="dxa"/>
            <w:tcBorders>
              <w:top w:val="nil"/>
              <w:left w:val="nil"/>
              <w:bottom w:val="single" w:sz="4" w:space="0" w:color="auto"/>
              <w:right w:val="nil"/>
            </w:tcBorders>
            <w:shd w:val="clear" w:color="auto" w:fill="auto"/>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300</w:t>
            </w:r>
          </w:p>
        </w:tc>
        <w:tc>
          <w:tcPr>
            <w:tcW w:w="2974" w:type="dxa"/>
            <w:tcBorders>
              <w:top w:val="nil"/>
              <w:left w:val="nil"/>
              <w:bottom w:val="single" w:sz="4" w:space="0" w:color="auto"/>
              <w:right w:val="nil"/>
            </w:tcBorders>
            <w:shd w:val="clear" w:color="auto" w:fill="auto"/>
            <w:tcMar>
              <w:left w:w="0" w:type="dxa"/>
              <w:right w:w="0" w:type="dxa"/>
            </w:tcMar>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Ok. 150 organizacji szkolących w zakresie BSP jest obecnie w rejestrze podmiotów szkolących</w:t>
            </w:r>
          </w:p>
        </w:tc>
      </w:tr>
      <w:tr w:rsidR="00B40206" w:rsidRPr="00B40206" w:rsidTr="005A77F3">
        <w:trPr>
          <w:trHeight w:val="445"/>
        </w:trPr>
        <w:tc>
          <w:tcPr>
            <w:tcW w:w="343" w:type="dxa"/>
            <w:tcBorders>
              <w:top w:val="nil"/>
              <w:left w:val="single" w:sz="4" w:space="0" w:color="auto"/>
              <w:bottom w:val="single" w:sz="4" w:space="0" w:color="auto"/>
              <w:right w:val="nil"/>
            </w:tcBorders>
            <w:shd w:val="clear" w:color="auto" w:fill="auto"/>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6.</w:t>
            </w:r>
          </w:p>
        </w:tc>
        <w:tc>
          <w:tcPr>
            <w:tcW w:w="3454" w:type="dxa"/>
            <w:tcBorders>
              <w:top w:val="nil"/>
              <w:left w:val="nil"/>
              <w:bottom w:val="single" w:sz="4" w:space="0" w:color="auto"/>
              <w:right w:val="nil"/>
            </w:tcBorders>
            <w:shd w:val="clear" w:color="auto" w:fill="auto"/>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 xml:space="preserve">Przygotowywanie materiałów promujących bezpieczeństwo lotnictwa bezzałogowego (seminaria, szkolenia dla służb, jednostek samorządu terytorialnego) oraz telefoniczne i mailowe udzielania odpowiedzi na zapytania </w:t>
            </w:r>
          </w:p>
        </w:tc>
        <w:tc>
          <w:tcPr>
            <w:tcW w:w="539" w:type="dxa"/>
            <w:tcBorders>
              <w:top w:val="nil"/>
              <w:left w:val="nil"/>
              <w:bottom w:val="single" w:sz="4" w:space="0" w:color="auto"/>
              <w:right w:val="nil"/>
            </w:tcBorders>
            <w:shd w:val="clear" w:color="auto" w:fill="auto"/>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2000</w:t>
            </w:r>
          </w:p>
        </w:tc>
        <w:tc>
          <w:tcPr>
            <w:tcW w:w="818" w:type="dxa"/>
            <w:tcBorders>
              <w:top w:val="nil"/>
              <w:left w:val="nil"/>
              <w:bottom w:val="single" w:sz="4" w:space="0" w:color="auto"/>
              <w:right w:val="nil"/>
            </w:tcBorders>
            <w:shd w:val="clear" w:color="auto" w:fill="auto"/>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0,5</w:t>
            </w:r>
          </w:p>
        </w:tc>
        <w:tc>
          <w:tcPr>
            <w:tcW w:w="798" w:type="dxa"/>
            <w:tcBorders>
              <w:top w:val="nil"/>
              <w:left w:val="nil"/>
              <w:bottom w:val="single" w:sz="4" w:space="0" w:color="auto"/>
              <w:right w:val="nil"/>
            </w:tcBorders>
            <w:shd w:val="clear" w:color="auto" w:fill="auto"/>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1000</w:t>
            </w:r>
          </w:p>
        </w:tc>
        <w:tc>
          <w:tcPr>
            <w:tcW w:w="2974" w:type="dxa"/>
            <w:tcBorders>
              <w:top w:val="nil"/>
              <w:left w:val="nil"/>
              <w:bottom w:val="single" w:sz="4" w:space="0" w:color="auto"/>
              <w:right w:val="nil"/>
            </w:tcBorders>
            <w:shd w:val="clear" w:color="auto" w:fill="auto"/>
            <w:tcMar>
              <w:left w:w="0" w:type="dxa"/>
              <w:right w:w="0" w:type="dxa"/>
            </w:tcMar>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14"/>
                <w:szCs w:val="14"/>
                <w:lang w:eastAsia="pl-PL"/>
              </w:rPr>
            </w:pPr>
          </w:p>
        </w:tc>
      </w:tr>
      <w:tr w:rsidR="00B40206" w:rsidRPr="00B40206" w:rsidTr="005A77F3">
        <w:trPr>
          <w:trHeight w:val="445"/>
        </w:trPr>
        <w:tc>
          <w:tcPr>
            <w:tcW w:w="343" w:type="dxa"/>
            <w:tcBorders>
              <w:top w:val="nil"/>
              <w:left w:val="single" w:sz="4" w:space="0" w:color="auto"/>
              <w:bottom w:val="single" w:sz="4" w:space="0" w:color="auto"/>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7.</w:t>
            </w:r>
          </w:p>
        </w:tc>
        <w:tc>
          <w:tcPr>
            <w:tcW w:w="3454" w:type="dxa"/>
            <w:tcBorders>
              <w:top w:val="nil"/>
              <w:left w:val="nil"/>
              <w:bottom w:val="single" w:sz="4" w:space="0" w:color="auto"/>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Prowadzenie postępowań ws. kar (administracyjnych) oraz przygotowanie dokumentacji w przypadku naruszeń przepisów karnych</w:t>
            </w:r>
          </w:p>
        </w:tc>
        <w:tc>
          <w:tcPr>
            <w:tcW w:w="539" w:type="dxa"/>
            <w:tcBorders>
              <w:top w:val="nil"/>
              <w:left w:val="nil"/>
              <w:bottom w:val="single" w:sz="4" w:space="0" w:color="auto"/>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60</w:t>
            </w:r>
          </w:p>
        </w:tc>
        <w:tc>
          <w:tcPr>
            <w:tcW w:w="818" w:type="dxa"/>
            <w:tcBorders>
              <w:top w:val="nil"/>
              <w:left w:val="nil"/>
              <w:bottom w:val="single" w:sz="4" w:space="0" w:color="auto"/>
              <w:right w:val="nil"/>
            </w:tcBorders>
            <w:shd w:val="clear" w:color="auto" w:fill="auto"/>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10</w:t>
            </w:r>
          </w:p>
        </w:tc>
        <w:tc>
          <w:tcPr>
            <w:tcW w:w="798" w:type="dxa"/>
            <w:tcBorders>
              <w:top w:val="nil"/>
              <w:left w:val="nil"/>
              <w:bottom w:val="single" w:sz="4" w:space="0" w:color="auto"/>
              <w:right w:val="nil"/>
            </w:tcBorders>
            <w:shd w:val="clear" w:color="auto" w:fill="auto"/>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600</w:t>
            </w:r>
          </w:p>
        </w:tc>
        <w:tc>
          <w:tcPr>
            <w:tcW w:w="2974" w:type="dxa"/>
            <w:tcBorders>
              <w:top w:val="nil"/>
              <w:left w:val="nil"/>
              <w:bottom w:val="single" w:sz="4" w:space="0" w:color="auto"/>
              <w:right w:val="nil"/>
            </w:tcBorders>
            <w:shd w:val="clear" w:color="auto" w:fill="auto"/>
            <w:tcMar>
              <w:left w:w="0" w:type="dxa"/>
              <w:right w:w="0" w:type="dxa"/>
            </w:tcMar>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Ok. 61 tys. operatorów systemów BSP</w:t>
            </w:r>
          </w:p>
        </w:tc>
      </w:tr>
      <w:tr w:rsidR="00B40206" w:rsidRPr="00B40206" w:rsidTr="005A77F3">
        <w:trPr>
          <w:trHeight w:val="576"/>
        </w:trPr>
        <w:tc>
          <w:tcPr>
            <w:tcW w:w="343" w:type="dxa"/>
            <w:tcBorders>
              <w:top w:val="nil"/>
              <w:left w:val="single" w:sz="4" w:space="0" w:color="auto"/>
              <w:bottom w:val="single" w:sz="4" w:space="0" w:color="auto"/>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8.</w:t>
            </w:r>
          </w:p>
        </w:tc>
        <w:tc>
          <w:tcPr>
            <w:tcW w:w="3454" w:type="dxa"/>
            <w:tcBorders>
              <w:top w:val="nil"/>
              <w:left w:val="nil"/>
              <w:bottom w:val="single" w:sz="4" w:space="0" w:color="auto"/>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Udział w czynnościach kontrolnych na podstawie art. 27 ustawy - Prawo lotnicze, w zakresie wykonywania operacji w kategorii szczególnej i certyfikowanej oraz podmiotów wyznaczonych prowadzących szkolenia</w:t>
            </w:r>
          </w:p>
        </w:tc>
        <w:tc>
          <w:tcPr>
            <w:tcW w:w="539" w:type="dxa"/>
            <w:tcBorders>
              <w:top w:val="nil"/>
              <w:left w:val="nil"/>
              <w:bottom w:val="single" w:sz="4" w:space="0" w:color="auto"/>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50</w:t>
            </w:r>
          </w:p>
        </w:tc>
        <w:tc>
          <w:tcPr>
            <w:tcW w:w="818" w:type="dxa"/>
            <w:tcBorders>
              <w:top w:val="nil"/>
              <w:left w:val="nil"/>
              <w:bottom w:val="single" w:sz="4" w:space="0" w:color="auto"/>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21</w:t>
            </w:r>
          </w:p>
        </w:tc>
        <w:tc>
          <w:tcPr>
            <w:tcW w:w="798" w:type="dxa"/>
            <w:tcBorders>
              <w:top w:val="nil"/>
              <w:left w:val="nil"/>
              <w:bottom w:val="single" w:sz="4" w:space="0" w:color="auto"/>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sz w:val="14"/>
                <w:szCs w:val="14"/>
                <w:lang w:eastAsia="pl-PL"/>
              </w:rPr>
            </w:pPr>
            <w:r w:rsidRPr="00B40206">
              <w:rPr>
                <w:rFonts w:ascii="Times New Roman" w:eastAsia="Times New Roman" w:hAnsi="Times New Roman" w:cs="Arial"/>
                <w:sz w:val="14"/>
                <w:szCs w:val="14"/>
                <w:lang w:eastAsia="pl-PL"/>
              </w:rPr>
              <w:t>1050</w:t>
            </w:r>
          </w:p>
        </w:tc>
        <w:tc>
          <w:tcPr>
            <w:tcW w:w="2974" w:type="dxa"/>
            <w:tcBorders>
              <w:top w:val="nil"/>
              <w:left w:val="nil"/>
              <w:bottom w:val="single" w:sz="4" w:space="0" w:color="auto"/>
              <w:right w:val="nil"/>
            </w:tcBorders>
            <w:shd w:val="clear" w:color="auto" w:fill="auto"/>
            <w:hideMark/>
          </w:tcPr>
          <w:p w:rsidR="00B40206" w:rsidRPr="00D3031A" w:rsidRDefault="00B40206" w:rsidP="00B40206">
            <w:pPr>
              <w:widowControl w:val="0"/>
              <w:autoSpaceDE w:val="0"/>
              <w:autoSpaceDN w:val="0"/>
              <w:adjustRightInd w:val="0"/>
              <w:spacing w:line="240" w:lineRule="auto"/>
              <w:ind w:firstLine="0"/>
              <w:rPr>
                <w:rFonts w:ascii="Times New Roman" w:eastAsia="Times New Roman" w:hAnsi="Times New Roman" w:cs="Arial"/>
                <w:sz w:val="14"/>
                <w:szCs w:val="14"/>
                <w:lang w:eastAsia="pl-PL"/>
              </w:rPr>
            </w:pPr>
          </w:p>
        </w:tc>
      </w:tr>
      <w:tr w:rsidR="00B40206" w:rsidRPr="00B40206" w:rsidTr="005A77F3">
        <w:trPr>
          <w:trHeight w:val="264"/>
        </w:trPr>
        <w:tc>
          <w:tcPr>
            <w:tcW w:w="343" w:type="dxa"/>
            <w:tcBorders>
              <w:top w:val="nil"/>
              <w:left w:val="single" w:sz="4" w:space="0" w:color="auto"/>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color w:val="FF0000"/>
                <w:sz w:val="14"/>
                <w:szCs w:val="14"/>
                <w:lang w:eastAsia="pl-PL"/>
              </w:rPr>
            </w:pPr>
          </w:p>
        </w:tc>
        <w:tc>
          <w:tcPr>
            <w:tcW w:w="4811" w:type="dxa"/>
            <w:gridSpan w:val="3"/>
            <w:tcBorders>
              <w:top w:val="single" w:sz="4" w:space="0" w:color="auto"/>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b/>
                <w:bCs/>
                <w:sz w:val="16"/>
                <w:szCs w:val="16"/>
                <w:u w:val="single"/>
                <w:lang w:eastAsia="pl-PL"/>
              </w:rPr>
            </w:pPr>
            <w:r w:rsidRPr="00B40206">
              <w:rPr>
                <w:rFonts w:ascii="Times New Roman" w:eastAsia="Times New Roman" w:hAnsi="Times New Roman" w:cs="Arial"/>
                <w:b/>
                <w:bCs/>
                <w:sz w:val="16"/>
                <w:szCs w:val="16"/>
                <w:u w:val="single"/>
                <w:lang w:eastAsia="pl-PL"/>
              </w:rPr>
              <w:t>Roczna pracochłonność</w:t>
            </w:r>
          </w:p>
        </w:tc>
        <w:tc>
          <w:tcPr>
            <w:tcW w:w="798" w:type="dxa"/>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jc w:val="right"/>
              <w:rPr>
                <w:rFonts w:ascii="Times New Roman" w:eastAsia="Times New Roman" w:hAnsi="Times New Roman" w:cs="Arial"/>
                <w:b/>
                <w:bCs/>
                <w:sz w:val="16"/>
                <w:szCs w:val="16"/>
                <w:u w:val="single"/>
                <w:lang w:eastAsia="pl-PL"/>
              </w:rPr>
            </w:pPr>
            <w:r w:rsidRPr="00B40206">
              <w:rPr>
                <w:rFonts w:ascii="Times New Roman" w:eastAsia="Times New Roman" w:hAnsi="Times New Roman" w:cs="Arial"/>
                <w:b/>
                <w:bCs/>
                <w:sz w:val="16"/>
                <w:szCs w:val="16"/>
                <w:u w:val="single"/>
                <w:lang w:eastAsia="pl-PL"/>
              </w:rPr>
              <w:t>21500</w:t>
            </w:r>
          </w:p>
        </w:tc>
        <w:tc>
          <w:tcPr>
            <w:tcW w:w="2974" w:type="dxa"/>
            <w:tcBorders>
              <w:top w:val="nil"/>
              <w:left w:val="nil"/>
              <w:bottom w:val="nil"/>
              <w:right w:val="nil"/>
            </w:tcBorders>
            <w:shd w:val="clear" w:color="auto" w:fill="auto"/>
            <w:hideMark/>
          </w:tcPr>
          <w:p w:rsidR="00B40206" w:rsidRPr="00B40206" w:rsidRDefault="00B40206" w:rsidP="00B40206">
            <w:pPr>
              <w:widowControl w:val="0"/>
              <w:autoSpaceDE w:val="0"/>
              <w:autoSpaceDN w:val="0"/>
              <w:adjustRightInd w:val="0"/>
              <w:spacing w:line="240" w:lineRule="auto"/>
              <w:ind w:firstLine="0"/>
              <w:rPr>
                <w:rFonts w:ascii="Times New Roman" w:eastAsia="Times New Roman" w:hAnsi="Times New Roman" w:cs="Arial"/>
                <w:sz w:val="20"/>
                <w:szCs w:val="20"/>
                <w:lang w:eastAsia="pl-PL"/>
              </w:rPr>
            </w:pPr>
          </w:p>
        </w:tc>
      </w:tr>
    </w:tbl>
    <w:p w:rsidR="00C54652" w:rsidRPr="00C85577" w:rsidRDefault="00C54652" w:rsidP="00FC0B95">
      <w:pPr>
        <w:ind w:firstLine="0"/>
        <w:rPr>
          <w:rFonts w:ascii="Times New Roman" w:hAnsi="Times New Roman" w:cs="Times New Roman"/>
        </w:rPr>
      </w:pPr>
    </w:p>
    <w:sectPr w:rsidR="00C54652" w:rsidRPr="00C85577" w:rsidSect="00F04F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92EFE"/>
    <w:multiLevelType w:val="hybridMultilevel"/>
    <w:tmpl w:val="CAE8DD20"/>
    <w:lvl w:ilvl="0" w:tplc="448E4C92">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12D7438"/>
    <w:multiLevelType w:val="hybridMultilevel"/>
    <w:tmpl w:val="8BCEDD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35E02D0"/>
    <w:multiLevelType w:val="hybridMultilevel"/>
    <w:tmpl w:val="C158FBFC"/>
    <w:lvl w:ilvl="0" w:tplc="9F9EFC0E">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C2046EE"/>
    <w:multiLevelType w:val="hybridMultilevel"/>
    <w:tmpl w:val="3DE29A2E"/>
    <w:lvl w:ilvl="0" w:tplc="9F9EFC0E">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E3F35DA"/>
    <w:multiLevelType w:val="hybridMultilevel"/>
    <w:tmpl w:val="451A70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11B707D"/>
    <w:multiLevelType w:val="hybridMultilevel"/>
    <w:tmpl w:val="51B86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37500B5"/>
    <w:multiLevelType w:val="hybridMultilevel"/>
    <w:tmpl w:val="EEC6EB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5E2078F"/>
    <w:multiLevelType w:val="hybridMultilevel"/>
    <w:tmpl w:val="7222FF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9544685"/>
    <w:multiLevelType w:val="hybridMultilevel"/>
    <w:tmpl w:val="DE6682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7"/>
  </w:num>
  <w:num w:numId="5">
    <w:abstractNumId w:val="1"/>
  </w:num>
  <w:num w:numId="6">
    <w:abstractNumId w:val="3"/>
  </w:num>
  <w:num w:numId="7">
    <w:abstractNumId w:val="6"/>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B95"/>
    <w:rsid w:val="000025BD"/>
    <w:rsid w:val="00032BCE"/>
    <w:rsid w:val="0004123F"/>
    <w:rsid w:val="00066717"/>
    <w:rsid w:val="000774CF"/>
    <w:rsid w:val="000A70F0"/>
    <w:rsid w:val="000C0A55"/>
    <w:rsid w:val="00122CA1"/>
    <w:rsid w:val="00127E5B"/>
    <w:rsid w:val="001944B6"/>
    <w:rsid w:val="001A18C6"/>
    <w:rsid w:val="001E5F58"/>
    <w:rsid w:val="0020301B"/>
    <w:rsid w:val="00265F4E"/>
    <w:rsid w:val="002855FB"/>
    <w:rsid w:val="002B44D6"/>
    <w:rsid w:val="002D6C40"/>
    <w:rsid w:val="002E7901"/>
    <w:rsid w:val="002F3C57"/>
    <w:rsid w:val="00311D83"/>
    <w:rsid w:val="00317A6D"/>
    <w:rsid w:val="003477C3"/>
    <w:rsid w:val="00364A03"/>
    <w:rsid w:val="00376E87"/>
    <w:rsid w:val="003A52B3"/>
    <w:rsid w:val="00447E15"/>
    <w:rsid w:val="00464696"/>
    <w:rsid w:val="004678BE"/>
    <w:rsid w:val="004A38FD"/>
    <w:rsid w:val="004A6482"/>
    <w:rsid w:val="004C308B"/>
    <w:rsid w:val="004C75E8"/>
    <w:rsid w:val="004E3AAA"/>
    <w:rsid w:val="004F20FF"/>
    <w:rsid w:val="00513F3E"/>
    <w:rsid w:val="00516329"/>
    <w:rsid w:val="005726C6"/>
    <w:rsid w:val="005A77F3"/>
    <w:rsid w:val="005F0D77"/>
    <w:rsid w:val="007D3914"/>
    <w:rsid w:val="007E232A"/>
    <w:rsid w:val="0080428C"/>
    <w:rsid w:val="00826D8F"/>
    <w:rsid w:val="008402F2"/>
    <w:rsid w:val="008441A8"/>
    <w:rsid w:val="00844DE0"/>
    <w:rsid w:val="008C152B"/>
    <w:rsid w:val="008C3710"/>
    <w:rsid w:val="008E5C1E"/>
    <w:rsid w:val="008E671D"/>
    <w:rsid w:val="0098151D"/>
    <w:rsid w:val="009E004D"/>
    <w:rsid w:val="00AA349E"/>
    <w:rsid w:val="00AB4569"/>
    <w:rsid w:val="00AD47A3"/>
    <w:rsid w:val="00B017F6"/>
    <w:rsid w:val="00B24743"/>
    <w:rsid w:val="00B40206"/>
    <w:rsid w:val="00B67B2F"/>
    <w:rsid w:val="00B95039"/>
    <w:rsid w:val="00C0409C"/>
    <w:rsid w:val="00C1052F"/>
    <w:rsid w:val="00C10BD8"/>
    <w:rsid w:val="00C54652"/>
    <w:rsid w:val="00C6405E"/>
    <w:rsid w:val="00C75771"/>
    <w:rsid w:val="00C76548"/>
    <w:rsid w:val="00C85577"/>
    <w:rsid w:val="00CA577C"/>
    <w:rsid w:val="00CE3054"/>
    <w:rsid w:val="00D076B7"/>
    <w:rsid w:val="00D17450"/>
    <w:rsid w:val="00D232A7"/>
    <w:rsid w:val="00D3031A"/>
    <w:rsid w:val="00D32F4F"/>
    <w:rsid w:val="00D405D8"/>
    <w:rsid w:val="00D55629"/>
    <w:rsid w:val="00D7302C"/>
    <w:rsid w:val="00D930C2"/>
    <w:rsid w:val="00DC7A8D"/>
    <w:rsid w:val="00DD6011"/>
    <w:rsid w:val="00E16556"/>
    <w:rsid w:val="00E67D47"/>
    <w:rsid w:val="00E77792"/>
    <w:rsid w:val="00E924F9"/>
    <w:rsid w:val="00EC54F0"/>
    <w:rsid w:val="00EE25C5"/>
    <w:rsid w:val="00F04FF8"/>
    <w:rsid w:val="00F12F96"/>
    <w:rsid w:val="00F21052"/>
    <w:rsid w:val="00F35A87"/>
    <w:rsid w:val="00F9620A"/>
    <w:rsid w:val="00FA5BBB"/>
    <w:rsid w:val="00FC0B95"/>
    <w:rsid w:val="00FC4CF2"/>
    <w:rsid w:val="00FD68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90D76"/>
  <w15:docId w15:val="{4823C05B-B6BD-411A-81F0-42DA47777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line="276" w:lineRule="auto"/>
        <w:ind w:firstLine="56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5BB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FC0B9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E004D"/>
    <w:pPr>
      <w:ind w:left="720"/>
      <w:contextualSpacing/>
    </w:pPr>
  </w:style>
  <w:style w:type="paragraph" w:styleId="Tekstdymka">
    <w:name w:val="Balloon Text"/>
    <w:basedOn w:val="Normalny"/>
    <w:link w:val="TekstdymkaZnak"/>
    <w:uiPriority w:val="99"/>
    <w:semiHidden/>
    <w:unhideWhenUsed/>
    <w:rsid w:val="00F35A87"/>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35A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4E94FD-6C38-4180-AA27-F64EC7991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1162</Words>
  <Characters>6975</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pkrolak</dc:creator>
  <cp:lastModifiedBy>Porzycka Magdalena</cp:lastModifiedBy>
  <cp:revision>8</cp:revision>
  <dcterms:created xsi:type="dcterms:W3CDTF">2023-06-14T10:31:00Z</dcterms:created>
  <dcterms:modified xsi:type="dcterms:W3CDTF">2024-10-16T10:02:00Z</dcterms:modified>
</cp:coreProperties>
</file>