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90A4A" w14:textId="38F23B21" w:rsidR="00BA24DC" w:rsidRPr="00BA24DC" w:rsidRDefault="00BA24DC" w:rsidP="00D92F3B">
      <w:pPr>
        <w:pStyle w:val="OZNPROJEKTUwskazaniedatylubwersjiprojektu"/>
      </w:pPr>
      <w:r w:rsidRPr="00BA24DC">
        <w:t xml:space="preserve">Projekt z dnia </w:t>
      </w:r>
      <w:r w:rsidR="00563CC8">
        <w:t>14</w:t>
      </w:r>
      <w:r w:rsidR="00B463E8">
        <w:t>.</w:t>
      </w:r>
      <w:r w:rsidR="00563CC8">
        <w:t>10</w:t>
      </w:r>
      <w:r w:rsidR="00962982">
        <w:t>.202</w:t>
      </w:r>
      <w:r w:rsidR="00681788">
        <w:t>4</w:t>
      </w:r>
      <w:r w:rsidRPr="00BA24DC">
        <w:t xml:space="preserve"> r.</w:t>
      </w:r>
    </w:p>
    <w:p w14:paraId="5A9C8DC6" w14:textId="77777777" w:rsidR="00BA24DC" w:rsidRPr="00BA24DC" w:rsidRDefault="00BA24DC" w:rsidP="00BA24DC">
      <w:pPr>
        <w:pStyle w:val="OZNRODZAKTUtznustawalubrozporzdzenieiorganwydajcy"/>
      </w:pPr>
      <w:r w:rsidRPr="00BA24DC">
        <w:t>Rozporządzenie</w:t>
      </w:r>
    </w:p>
    <w:p w14:paraId="42F7DD6A" w14:textId="77777777" w:rsidR="00BA24DC" w:rsidRPr="00BA24DC" w:rsidRDefault="00BA24DC" w:rsidP="00BA24DC">
      <w:pPr>
        <w:pStyle w:val="OZNRODZAKTUtznustawalubrozporzdzenieiorganwydajcy"/>
      </w:pPr>
      <w:r w:rsidRPr="00BA24DC">
        <w:t>Ministra Infrastruktury</w:t>
      </w:r>
      <w:r w:rsidRPr="00B85221">
        <w:rPr>
          <w:rStyle w:val="IGindeksgrny"/>
        </w:rPr>
        <w:footnoteReference w:id="2"/>
      </w:r>
      <w:r w:rsidRPr="00B85221">
        <w:rPr>
          <w:rStyle w:val="IGindeksgrny"/>
        </w:rPr>
        <w:t>)</w:t>
      </w:r>
    </w:p>
    <w:p w14:paraId="39F60858" w14:textId="590BE179" w:rsidR="00BA24DC" w:rsidRPr="00BA24DC" w:rsidRDefault="00BA24DC" w:rsidP="00BA24DC">
      <w:pPr>
        <w:pStyle w:val="DATAAKTUdatauchwalenialubwydaniaaktu"/>
      </w:pPr>
      <w:r w:rsidRPr="00BA24DC">
        <w:t>z dnia …</w:t>
      </w:r>
      <w:r w:rsidR="00641039">
        <w:t>…………………………</w:t>
      </w:r>
      <w:r w:rsidRPr="00BA24DC">
        <w:t xml:space="preserve"> 202</w:t>
      </w:r>
      <w:r w:rsidR="00376782">
        <w:t>5</w:t>
      </w:r>
      <w:r w:rsidRPr="00BA24DC">
        <w:t xml:space="preserve"> r.</w:t>
      </w:r>
    </w:p>
    <w:p w14:paraId="2EAAF3D5" w14:textId="77777777" w:rsidR="00BA24DC" w:rsidRPr="00BA24DC" w:rsidRDefault="00BA24DC" w:rsidP="00BA24DC">
      <w:pPr>
        <w:pStyle w:val="TYTUAKTUprzedmiotregulacjiustawylubrozporzdzenia"/>
      </w:pPr>
      <w:r w:rsidRPr="00BA24DC">
        <w:t xml:space="preserve">w sprawie stref geograficznych dla </w:t>
      </w:r>
      <w:r w:rsidR="00361EFE">
        <w:t xml:space="preserve">systemów </w:t>
      </w:r>
      <w:r w:rsidRPr="00BA24DC">
        <w:t xml:space="preserve">bezzałogowych </w:t>
      </w:r>
      <w:r w:rsidR="00361EFE">
        <w:t>statków</w:t>
      </w:r>
      <w:r w:rsidR="00361EFE" w:rsidRPr="00BA24DC">
        <w:t xml:space="preserve"> </w:t>
      </w:r>
      <w:r w:rsidRPr="00BA24DC">
        <w:t>powietrznych</w:t>
      </w:r>
    </w:p>
    <w:p w14:paraId="6F590060" w14:textId="5B2D4E72" w:rsidR="00BA24DC" w:rsidRPr="00BA24DC" w:rsidRDefault="00BA24DC" w:rsidP="00B85221">
      <w:pPr>
        <w:pStyle w:val="NIEARTTEKSTtekstnieartykuowanynppodstprawnarozplubpreambua"/>
      </w:pPr>
      <w:r w:rsidRPr="00BA24DC">
        <w:t>Na podstawie art. 156</w:t>
      </w:r>
      <w:r w:rsidR="00AF3EE9">
        <w:t xml:space="preserve">k </w:t>
      </w:r>
      <w:r w:rsidRPr="00BA24DC">
        <w:t xml:space="preserve">ustawy z dnia 3 lipca 2002 r. </w:t>
      </w:r>
      <w:r w:rsidR="00BA7C5B" w:rsidRPr="00BA7C5B">
        <w:t>–</w:t>
      </w:r>
      <w:r w:rsidR="00F8794C">
        <w:t xml:space="preserve"> Prawo lotnicze (</w:t>
      </w:r>
      <w:r w:rsidRPr="00BA24DC">
        <w:t xml:space="preserve">Dz. U. z </w:t>
      </w:r>
      <w:r w:rsidR="00D075F3">
        <w:t>202</w:t>
      </w:r>
      <w:r w:rsidR="001521D7">
        <w:t>3</w:t>
      </w:r>
      <w:r w:rsidR="00D075F3">
        <w:t xml:space="preserve"> r. poz. </w:t>
      </w:r>
      <w:r w:rsidR="001521D7">
        <w:t>2110</w:t>
      </w:r>
      <w:r w:rsidR="00681788">
        <w:t xml:space="preserve"> oraz z 2024 r. poz. 731</w:t>
      </w:r>
      <w:r w:rsidR="00563CC8">
        <w:t xml:space="preserve"> i 1222</w:t>
      </w:r>
      <w:r w:rsidRPr="00BA24DC">
        <w:t>) zarządza się, co następuje:</w:t>
      </w:r>
    </w:p>
    <w:p w14:paraId="44706673" w14:textId="77777777" w:rsidR="00BA24DC" w:rsidRPr="00BA24DC" w:rsidRDefault="00BA24DC" w:rsidP="00BA24DC">
      <w:pPr>
        <w:pStyle w:val="ROZDZODDZOZNoznaczenierozdziauluboddziau"/>
      </w:pPr>
      <w:r w:rsidRPr="00BA24DC">
        <w:t>Rozdział 1</w:t>
      </w:r>
    </w:p>
    <w:p w14:paraId="2717221F" w14:textId="77777777" w:rsidR="00BA24DC" w:rsidRPr="00BA24DC" w:rsidRDefault="00BA24DC" w:rsidP="00BA24DC">
      <w:pPr>
        <w:pStyle w:val="ROZDZODDZPRZEDMprzedmiotregulacjirozdziauluboddziau"/>
      </w:pPr>
      <w:r w:rsidRPr="00BA24DC">
        <w:t>Przepisy ogólne</w:t>
      </w:r>
    </w:p>
    <w:p w14:paraId="3D84B8A8" w14:textId="77777777" w:rsidR="00BA24DC" w:rsidRPr="00BA24DC" w:rsidRDefault="00BA24DC" w:rsidP="00BA24DC">
      <w:pPr>
        <w:pStyle w:val="ARTartustawynprozporzdzenia"/>
        <w:keepNext/>
      </w:pPr>
      <w:r w:rsidRPr="00BA24DC">
        <w:rPr>
          <w:rStyle w:val="Ppogrubienie"/>
        </w:rPr>
        <w:t>§ 1.</w:t>
      </w:r>
      <w:r>
        <w:t> </w:t>
      </w:r>
      <w:r w:rsidRPr="00BA24DC">
        <w:t>Rozporządzenie określa:</w:t>
      </w:r>
    </w:p>
    <w:p w14:paraId="02E5D9E6" w14:textId="77777777" w:rsidR="00CE2A41" w:rsidRDefault="00BA24DC" w:rsidP="00BA3BFB">
      <w:pPr>
        <w:pStyle w:val="PKTpunkt"/>
      </w:pPr>
      <w:r w:rsidRPr="00BA24DC">
        <w:t>1)</w:t>
      </w:r>
      <w:r>
        <w:tab/>
      </w:r>
      <w:r w:rsidR="00CA03E0" w:rsidRPr="00DE2995">
        <w:t>rodzaje stref geograficznych wraz z ich maksymalny</w:t>
      </w:r>
      <w:r w:rsidR="00CA03E0">
        <w:t>mi</w:t>
      </w:r>
      <w:r w:rsidR="00CA03E0" w:rsidRPr="00DE2995">
        <w:t xml:space="preserve"> wymiar</w:t>
      </w:r>
      <w:r w:rsidR="00CA03E0">
        <w:t>ami przyjmowanymi na potrzeby dokonania oceny wstępnej wniosku oraz okresami ich obowiązywania, w tym rodzaje stref geograficznych, których wyznaczenie wymaga uzyskania pozytywnej opinii Prezesa Urzędu;</w:t>
      </w:r>
    </w:p>
    <w:p w14:paraId="395F542A" w14:textId="0FD53F30" w:rsidR="00AB3816" w:rsidRDefault="00AB3816" w:rsidP="00BA3BFB">
      <w:pPr>
        <w:pStyle w:val="PKTpunkt"/>
      </w:pPr>
      <w:bookmarkStart w:id="0" w:name="_GoBack"/>
      <w:bookmarkEnd w:id="0"/>
      <w:r>
        <w:t>2)</w:t>
      </w:r>
      <w:r>
        <w:tab/>
      </w:r>
      <w:r w:rsidRPr="00AB3816">
        <w:t>szczegółowe warunki i sposób korzystania ze stref geograficznych przez wszystkich jej użytkowników</w:t>
      </w:r>
      <w:r>
        <w:t>;</w:t>
      </w:r>
    </w:p>
    <w:p w14:paraId="67BC214F" w14:textId="572E034C" w:rsidR="007A65D3" w:rsidRDefault="00AB3816" w:rsidP="00BA24DC">
      <w:pPr>
        <w:pStyle w:val="PKTpunkt"/>
      </w:pPr>
      <w:r>
        <w:t>3</w:t>
      </w:r>
      <w:r w:rsidR="00BA24DC" w:rsidRPr="00BA24DC">
        <w:t>)</w:t>
      </w:r>
      <w:r w:rsidR="00BA24DC">
        <w:tab/>
      </w:r>
      <w:r w:rsidR="00BA24DC" w:rsidRPr="00BA24DC">
        <w:t>elementy wniosk</w:t>
      </w:r>
      <w:r w:rsidR="00923AAA">
        <w:t>ów</w:t>
      </w:r>
      <w:r w:rsidR="00BA24DC" w:rsidRPr="00BA24DC">
        <w:t xml:space="preserve"> o </w:t>
      </w:r>
      <w:r w:rsidR="005F674B">
        <w:t>wyznaczenie</w:t>
      </w:r>
      <w:r w:rsidR="005F674B" w:rsidRPr="00BA24DC">
        <w:t xml:space="preserve"> </w:t>
      </w:r>
      <w:r w:rsidR="00BA24DC" w:rsidRPr="00BA24DC">
        <w:t>strefy geograficznej</w:t>
      </w:r>
      <w:r w:rsidR="007A65D3">
        <w:t>,</w:t>
      </w:r>
      <w:r w:rsidR="00F67913">
        <w:t xml:space="preserve"> </w:t>
      </w:r>
      <w:bookmarkStart w:id="1" w:name="_Hlk60861822"/>
      <w:r w:rsidR="00923AAA">
        <w:t>przedłużenie okresu obowiązywania strefy geograficznej i ponowne wyznaczenie strefy geograficznej</w:t>
      </w:r>
      <w:bookmarkEnd w:id="1"/>
      <w:r w:rsidR="00923AAA">
        <w:t>, ich</w:t>
      </w:r>
      <w:r w:rsidR="00F67913">
        <w:t xml:space="preserve"> formę</w:t>
      </w:r>
      <w:r w:rsidR="00CA03E0">
        <w:t xml:space="preserve"> oraz</w:t>
      </w:r>
      <w:r w:rsidR="00982686">
        <w:t xml:space="preserve"> sposób i </w:t>
      </w:r>
      <w:r w:rsidR="001C1456">
        <w:t>tryb</w:t>
      </w:r>
      <w:r w:rsidR="007A65D3">
        <w:t xml:space="preserve"> </w:t>
      </w:r>
      <w:r w:rsidR="00923AAA">
        <w:t>ich</w:t>
      </w:r>
      <w:r w:rsidR="007A65D3">
        <w:t xml:space="preserve"> rozpatrywania</w:t>
      </w:r>
      <w:r w:rsidR="001C1456">
        <w:t xml:space="preserve">, </w:t>
      </w:r>
      <w:r w:rsidR="00F67913">
        <w:t>w tym</w:t>
      </w:r>
      <w:r w:rsidR="00BA24DC" w:rsidRPr="00BA24DC">
        <w:t xml:space="preserve"> termin</w:t>
      </w:r>
      <w:r w:rsidR="002C0B1C">
        <w:t>y</w:t>
      </w:r>
      <w:r w:rsidR="00BA24DC" w:rsidRPr="00BA24DC">
        <w:t xml:space="preserve"> </w:t>
      </w:r>
      <w:r w:rsidR="00923AAA">
        <w:t>ich</w:t>
      </w:r>
      <w:r w:rsidR="00BA24DC" w:rsidRPr="00BA24DC">
        <w:t xml:space="preserve"> składania</w:t>
      </w:r>
      <w:r w:rsidR="007A65D3">
        <w:t>;</w:t>
      </w:r>
    </w:p>
    <w:p w14:paraId="3756BC26" w14:textId="518DD5E0" w:rsidR="00BA24DC" w:rsidRDefault="00AB3816" w:rsidP="00BA24DC">
      <w:pPr>
        <w:pStyle w:val="PKTpunkt"/>
      </w:pPr>
      <w:r>
        <w:t>4</w:t>
      </w:r>
      <w:r w:rsidR="0059619A">
        <w:t>)</w:t>
      </w:r>
      <w:r w:rsidR="0059619A">
        <w:tab/>
      </w:r>
      <w:r w:rsidR="007A65D3" w:rsidRPr="007A65D3">
        <w:t xml:space="preserve">sposób </w:t>
      </w:r>
      <w:r w:rsidR="00923AAA">
        <w:t xml:space="preserve">uiszczania i </w:t>
      </w:r>
      <w:r w:rsidR="007A65D3" w:rsidRPr="007A65D3">
        <w:t xml:space="preserve">rozliczania </w:t>
      </w:r>
      <w:bookmarkStart w:id="2" w:name="_Hlk60863212"/>
      <w:r w:rsidR="007A65D3" w:rsidRPr="007A65D3">
        <w:t xml:space="preserve">opłat </w:t>
      </w:r>
      <w:r w:rsidR="00923AAA">
        <w:t xml:space="preserve">za czynności </w:t>
      </w:r>
      <w:r w:rsidR="007A65D3" w:rsidRPr="007A65D3">
        <w:t>związan</w:t>
      </w:r>
      <w:r w:rsidR="00923AAA">
        <w:t>e</w:t>
      </w:r>
      <w:r w:rsidR="007A65D3" w:rsidRPr="007A65D3">
        <w:t xml:space="preserve"> z wyznacz</w:t>
      </w:r>
      <w:r w:rsidR="006C4F3A">
        <w:t>a</w:t>
      </w:r>
      <w:r w:rsidR="007A65D3" w:rsidRPr="007A65D3">
        <w:t>niem stref</w:t>
      </w:r>
      <w:r w:rsidR="001834C0">
        <w:t>y</w:t>
      </w:r>
      <w:r w:rsidR="007A65D3" w:rsidRPr="007A65D3">
        <w:t xml:space="preserve"> geograficzn</w:t>
      </w:r>
      <w:r w:rsidR="001834C0">
        <w:t>ej</w:t>
      </w:r>
      <w:r w:rsidR="00982686">
        <w:t xml:space="preserve">, </w:t>
      </w:r>
      <w:r w:rsidR="00982686" w:rsidRPr="00E63A88">
        <w:t>przedłuż</w:t>
      </w:r>
      <w:r w:rsidR="006C4F3A">
        <w:t>a</w:t>
      </w:r>
      <w:r w:rsidR="00982686" w:rsidRPr="00E63A88">
        <w:t>niem okres</w:t>
      </w:r>
      <w:r w:rsidR="001834C0">
        <w:t>u</w:t>
      </w:r>
      <w:r w:rsidR="00982686" w:rsidRPr="00E63A88">
        <w:t xml:space="preserve"> obowiązywania</w:t>
      </w:r>
      <w:r w:rsidR="00923AAA">
        <w:t xml:space="preserve"> stref</w:t>
      </w:r>
      <w:r w:rsidR="001834C0">
        <w:t>y</w:t>
      </w:r>
      <w:r w:rsidR="00923AAA">
        <w:t xml:space="preserve"> geograficzn</w:t>
      </w:r>
      <w:r w:rsidR="001834C0">
        <w:t>ej</w:t>
      </w:r>
      <w:r w:rsidR="00982686" w:rsidRPr="00E63A88">
        <w:t xml:space="preserve"> oraz ponownym wyznacz</w:t>
      </w:r>
      <w:r w:rsidR="006C4F3A">
        <w:t>a</w:t>
      </w:r>
      <w:r w:rsidR="00982686" w:rsidRPr="00E63A88">
        <w:t>niem</w:t>
      </w:r>
      <w:r w:rsidR="001834C0">
        <w:t xml:space="preserve"> strefy geograficznej</w:t>
      </w:r>
      <w:bookmarkEnd w:id="2"/>
      <w:r w:rsidR="007A65D3">
        <w:t>.</w:t>
      </w:r>
    </w:p>
    <w:p w14:paraId="157CDF97" w14:textId="77777777" w:rsidR="00BA24DC" w:rsidRPr="00BA24DC" w:rsidRDefault="00BA24DC" w:rsidP="00BA24DC">
      <w:pPr>
        <w:pStyle w:val="ARTartustawynprozporzdzenia"/>
        <w:keepNext/>
      </w:pPr>
      <w:r w:rsidRPr="00BA24DC">
        <w:rPr>
          <w:rStyle w:val="Ppogrubienie"/>
        </w:rPr>
        <w:t>§ 2.</w:t>
      </w:r>
      <w:r>
        <w:t> </w:t>
      </w:r>
      <w:r w:rsidRPr="00BA24DC">
        <w:t>Użyte w rozporządzeniu określenia i skróty oznaczają:</w:t>
      </w:r>
    </w:p>
    <w:p w14:paraId="729A58E7" w14:textId="35AA81EE" w:rsidR="006B1CC4" w:rsidRDefault="00BA24DC" w:rsidP="00935D4C">
      <w:pPr>
        <w:pStyle w:val="PKTpunkt"/>
      </w:pPr>
      <w:r w:rsidRPr="007543C8">
        <w:t>1)</w:t>
      </w:r>
      <w:r w:rsidRPr="007543C8">
        <w:tab/>
      </w:r>
      <w:r w:rsidR="006B1CC4">
        <w:t xml:space="preserve">Agencja </w:t>
      </w:r>
      <w:r w:rsidR="006B1CC4" w:rsidRPr="00BF1536">
        <w:t>–</w:t>
      </w:r>
      <w:r w:rsidR="006B1CC4">
        <w:t xml:space="preserve"> Polską Agencję Żeglugi Powietrznej utworzoną na mocy przepisów ustawy z dnia 8 grudnia 2006 r. o Polskiej Agencji Żeglugi Powietrznej (Dz. U. z 20</w:t>
      </w:r>
      <w:r w:rsidR="00326AC5">
        <w:t>2</w:t>
      </w:r>
      <w:r w:rsidR="00681788">
        <w:t>4</w:t>
      </w:r>
      <w:r w:rsidR="006133B9">
        <w:t xml:space="preserve"> r. poz. </w:t>
      </w:r>
      <w:r w:rsidR="00376782">
        <w:t>1272</w:t>
      </w:r>
      <w:r w:rsidR="006B1CC4">
        <w:t>);</w:t>
      </w:r>
    </w:p>
    <w:p w14:paraId="265186D6" w14:textId="1B4E33A0" w:rsidR="006B1CC4" w:rsidRDefault="006B1CC4" w:rsidP="00935D4C">
      <w:pPr>
        <w:pStyle w:val="PKTpunkt"/>
      </w:pPr>
      <w:r>
        <w:lastRenderedPageBreak/>
        <w:t>2)</w:t>
      </w:r>
      <w:r>
        <w:tab/>
        <w:t xml:space="preserve">podmiot uprawniony </w:t>
      </w:r>
      <w:r w:rsidRPr="006B1CC4">
        <w:t>–</w:t>
      </w:r>
      <w:r>
        <w:t xml:space="preserve"> podmiot uprawniony</w:t>
      </w:r>
      <w:r w:rsidRPr="006B1CC4">
        <w:t xml:space="preserve"> do złożenia wniosku o wyznaczenie strefy geograficznej</w:t>
      </w:r>
      <w:r>
        <w:t>;</w:t>
      </w:r>
    </w:p>
    <w:p w14:paraId="20AE8F65" w14:textId="77777777" w:rsidR="00BA24DC" w:rsidRDefault="006B1CC4" w:rsidP="001834C0">
      <w:pPr>
        <w:pStyle w:val="PKTpunkt"/>
      </w:pPr>
      <w:r>
        <w:t>3</w:t>
      </w:r>
      <w:r w:rsidRPr="007543C8">
        <w:t>)</w:t>
      </w:r>
      <w:r>
        <w:tab/>
      </w:r>
      <w:r w:rsidR="00BA24DC" w:rsidRPr="007543C8">
        <w:t>rozporządzenie nr 2019/947/UE – rozporządzenie wykonawcze Komisji (UE) nr 2019/947 z dnia 24 maja 2019 r. w sprawie przepisów i procedur dotyczących eksploatacji bezzałogowych statków powietrznych (Dz. Urz. UE L 152 z 11.06.2019, str. 45</w:t>
      </w:r>
      <w:r w:rsidR="00484A99">
        <w:t xml:space="preserve">, z </w:t>
      </w:r>
      <w:proofErr w:type="spellStart"/>
      <w:r w:rsidR="00484A99">
        <w:t>późń</w:t>
      </w:r>
      <w:proofErr w:type="spellEnd"/>
      <w:r w:rsidR="00484A99">
        <w:t>. zm.</w:t>
      </w:r>
      <w:r w:rsidR="00BF1536">
        <w:rPr>
          <w:rStyle w:val="Odwoanieprzypisudolnego"/>
        </w:rPr>
        <w:footnoteReference w:id="3"/>
      </w:r>
      <w:r w:rsidR="006644D0" w:rsidRPr="001834C0">
        <w:rPr>
          <w:rStyle w:val="IGindeksgrny"/>
        </w:rPr>
        <w:t>)</w:t>
      </w:r>
      <w:r w:rsidR="001B374B">
        <w:t>);</w:t>
      </w:r>
    </w:p>
    <w:p w14:paraId="63BFCC63" w14:textId="77777777" w:rsidR="00E83071" w:rsidRDefault="006B1CC4" w:rsidP="00F667F7">
      <w:pPr>
        <w:pStyle w:val="PKTpunkt"/>
      </w:pPr>
      <w:r>
        <w:t>4</w:t>
      </w:r>
      <w:r w:rsidR="00E83071">
        <w:t>)</w:t>
      </w:r>
      <w:r w:rsidR="00E83071">
        <w:tab/>
        <w:t xml:space="preserve">strefa geograficzna </w:t>
      </w:r>
      <w:r w:rsidRPr="006B1CC4">
        <w:t>–</w:t>
      </w:r>
      <w:r w:rsidR="00E83071">
        <w:t xml:space="preserve"> </w:t>
      </w:r>
      <w:r w:rsidR="00E83071" w:rsidRPr="00E83071">
        <w:t>strefa geograficzna dla</w:t>
      </w:r>
      <w:r w:rsidR="00A50CDC">
        <w:t xml:space="preserve"> systemów</w:t>
      </w:r>
      <w:r w:rsidR="00E83071" w:rsidRPr="00E83071">
        <w:t xml:space="preserve"> bezz</w:t>
      </w:r>
      <w:r w:rsidR="00E83071">
        <w:t>ałogowych s</w:t>
      </w:r>
      <w:r w:rsidR="00F9022E">
        <w:t>tatk</w:t>
      </w:r>
      <w:r w:rsidR="00E83071">
        <w:t xml:space="preserve">ów powietrznych w rozumieniu </w:t>
      </w:r>
      <w:r w:rsidR="002A2AE2">
        <w:t>art. 2 pkt 4</w:t>
      </w:r>
      <w:r w:rsidR="00E83071">
        <w:t xml:space="preserve"> rozporządzenia 2019/947/UE;</w:t>
      </w:r>
    </w:p>
    <w:p w14:paraId="5010E2BB" w14:textId="77777777" w:rsidR="00F17208" w:rsidRDefault="006B1CC4" w:rsidP="00F667F7">
      <w:pPr>
        <w:pStyle w:val="PKTpunkt"/>
      </w:pPr>
      <w:r>
        <w:t>5</w:t>
      </w:r>
      <w:r w:rsidR="00F17208">
        <w:t>)</w:t>
      </w:r>
      <w:r w:rsidR="00F17208">
        <w:tab/>
      </w:r>
      <w:r w:rsidRPr="007543C8">
        <w:t>ustawa – ustawę z dnia 3 lipca 2002 r. – Prawo lotnicze</w:t>
      </w:r>
      <w:r w:rsidR="001F5F79">
        <w:t>.</w:t>
      </w:r>
    </w:p>
    <w:p w14:paraId="32D707EF" w14:textId="77777777" w:rsidR="00BA24DC" w:rsidRPr="00BA24DC" w:rsidRDefault="00BA24DC" w:rsidP="00BA24DC">
      <w:pPr>
        <w:pStyle w:val="ROZDZODDZOZNoznaczenierozdziauluboddziau"/>
      </w:pPr>
      <w:r w:rsidRPr="00BA24DC">
        <w:t>Rozdział 2</w:t>
      </w:r>
    </w:p>
    <w:p w14:paraId="7E583A28" w14:textId="6D1352FC" w:rsidR="00BA24DC" w:rsidRPr="00BA24DC" w:rsidRDefault="00BA24DC" w:rsidP="00AB3816">
      <w:pPr>
        <w:pStyle w:val="ROZDZODDZPRZEDMprzedmiotregulacjirozdziauluboddziau"/>
      </w:pPr>
      <w:r w:rsidRPr="00BA24DC">
        <w:t>Rodzaje stref geograficznych</w:t>
      </w:r>
    </w:p>
    <w:p w14:paraId="19BC04AC" w14:textId="60AC4024" w:rsidR="00BA24DC" w:rsidRPr="00BA24DC" w:rsidRDefault="00BA24DC" w:rsidP="00BA24DC">
      <w:pPr>
        <w:pStyle w:val="ARTartustawynprozporzdzenia"/>
        <w:keepNext/>
      </w:pPr>
      <w:bookmarkStart w:id="3" w:name="_Hlk60856331"/>
      <w:r w:rsidRPr="00BA24DC">
        <w:rPr>
          <w:rStyle w:val="Ppogrubienie"/>
        </w:rPr>
        <w:t>§ 3</w:t>
      </w:r>
      <w:r w:rsidR="00544D68">
        <w:rPr>
          <w:rStyle w:val="Ppogrubienie"/>
        </w:rPr>
        <w:t>.</w:t>
      </w:r>
      <w:bookmarkEnd w:id="3"/>
      <w:r w:rsidR="001B374B">
        <w:t> </w:t>
      </w:r>
      <w:r w:rsidR="00336C16">
        <w:t>1. </w:t>
      </w:r>
      <w:r w:rsidR="00F17208">
        <w:t xml:space="preserve">Agencja </w:t>
      </w:r>
      <w:r w:rsidR="00E83071">
        <w:t>może wyznaczyć następujące rodzaje stref geograficznych</w:t>
      </w:r>
      <w:r w:rsidR="00544D68">
        <w:t>:</w:t>
      </w:r>
    </w:p>
    <w:p w14:paraId="526D0B99" w14:textId="1FD3C5D5" w:rsidR="0016567D" w:rsidRPr="008F2A87" w:rsidRDefault="00BA24DC" w:rsidP="0016567D">
      <w:pPr>
        <w:pStyle w:val="PKTpunkt"/>
      </w:pPr>
      <w:r w:rsidRPr="00BA24DC">
        <w:t>1)</w:t>
      </w:r>
      <w:r>
        <w:tab/>
      </w:r>
      <w:r w:rsidRPr="00BA24DC">
        <w:t xml:space="preserve">DRA-P – </w:t>
      </w:r>
      <w:r w:rsidR="00981B8B">
        <w:t xml:space="preserve">strefę </w:t>
      </w:r>
      <w:r w:rsidR="00A848E6">
        <w:t>zakazaną</w:t>
      </w:r>
      <w:r w:rsidR="00393D24" w:rsidRPr="00393D24">
        <w:t xml:space="preserve"> dla systemów bezzałogowych statków powietrznych</w:t>
      </w:r>
      <w:r w:rsidR="00544D68">
        <w:t>,</w:t>
      </w:r>
      <w:r w:rsidR="00A848E6">
        <w:t xml:space="preserve"> </w:t>
      </w:r>
      <w:r w:rsidR="00AE20EB">
        <w:t xml:space="preserve">w której </w:t>
      </w:r>
      <w:r w:rsidR="00715A23">
        <w:t>operacje</w:t>
      </w:r>
      <w:r w:rsidR="00F17208">
        <w:t xml:space="preserve"> </w:t>
      </w:r>
      <w:r w:rsidR="00147FBF">
        <w:t>z</w:t>
      </w:r>
      <w:r w:rsidR="000F5C84">
        <w:t xml:space="preserve"> użyci</w:t>
      </w:r>
      <w:r w:rsidR="00147FBF">
        <w:t>em</w:t>
      </w:r>
      <w:r w:rsidR="000F5C84">
        <w:t xml:space="preserve"> </w:t>
      </w:r>
      <w:r w:rsidR="00544D68">
        <w:t xml:space="preserve">systemów </w:t>
      </w:r>
      <w:r w:rsidR="00981B8B">
        <w:t>bezzałogowych statków powietrznych</w:t>
      </w:r>
      <w:r w:rsidR="00114839">
        <w:t xml:space="preserve"> </w:t>
      </w:r>
      <w:r w:rsidR="005112F0">
        <w:t>nie mogą być wykonywane</w:t>
      </w:r>
      <w:r w:rsidR="002137E2">
        <w:t xml:space="preserve">, z wyjątkiem operacji wykonywanych </w:t>
      </w:r>
      <w:r w:rsidR="00B34BA8">
        <w:t xml:space="preserve">na </w:t>
      </w:r>
      <w:r w:rsidR="0094393F">
        <w:t>warunkach</w:t>
      </w:r>
      <w:r w:rsidR="00802ABD">
        <w:t xml:space="preserve"> określonych przez Agencję</w:t>
      </w:r>
      <w:r w:rsidR="00B463E8">
        <w:t xml:space="preserve">, </w:t>
      </w:r>
      <w:r w:rsidR="00336C16">
        <w:t>Dowódcę</w:t>
      </w:r>
      <w:r w:rsidR="00336C16" w:rsidRPr="00336C16">
        <w:t xml:space="preserve"> </w:t>
      </w:r>
      <w:r w:rsidR="0016567D">
        <w:t xml:space="preserve">Generalnego Rodzaju Sił Zbrojnych, Dowódcę </w:t>
      </w:r>
      <w:r w:rsidR="00336C16" w:rsidRPr="00336C16">
        <w:t>Operacyjnego Rodzajów Sił Zbrojnych, Komendanta Głównego Żandarmerii Wojskowej, , Szefa Agencji Bezpieczeństwa Wewnętrznego, Szefa Agencji Wywiadu, Szefa Centralnego Biura Antykorupcyjnego, Szefa Służby Kontrwywiadu Wojskowego, Szefa Służby Wywiadu Wojskowego, Komendanta Głównego Policji, Komendanta Głównego Straży Granicznej, Dyrektora Generalnego Służby Więziennej, Szefa Krajowej Administracji Skarbowej</w:t>
      </w:r>
      <w:r w:rsidR="00336C16">
        <w:t>,</w:t>
      </w:r>
      <w:r w:rsidR="00336C16" w:rsidRPr="00336C16">
        <w:t xml:space="preserve"> Komendanta Służby Ochrony Państwa</w:t>
      </w:r>
      <w:r w:rsidR="00336C16">
        <w:t xml:space="preserve"> </w:t>
      </w:r>
      <w:r w:rsidR="0031608E">
        <w:t xml:space="preserve">lub </w:t>
      </w:r>
      <w:r w:rsidR="0031608E" w:rsidRPr="0031608E">
        <w:t>Komendanta Głównego Państwowej Straży Pożarnej</w:t>
      </w:r>
      <w:r w:rsidR="000B34E8">
        <w:t>;</w:t>
      </w:r>
    </w:p>
    <w:p w14:paraId="30D9A3D4" w14:textId="77777777" w:rsidR="0014345A" w:rsidRDefault="00BA24DC" w:rsidP="001C4711">
      <w:pPr>
        <w:pStyle w:val="PKTpunkt"/>
      </w:pPr>
      <w:r w:rsidRPr="00BA24DC">
        <w:t>2)</w:t>
      </w:r>
      <w:r>
        <w:tab/>
      </w:r>
      <w:r w:rsidRPr="00BA24DC">
        <w:t xml:space="preserve">DRA-R – </w:t>
      </w:r>
      <w:r w:rsidR="00981B8B">
        <w:t xml:space="preserve">strefę ograniczoną dla </w:t>
      </w:r>
      <w:r w:rsidR="0014345A">
        <w:t xml:space="preserve">systemów </w:t>
      </w:r>
      <w:r w:rsidR="00981B8B">
        <w:t>bezzałogowych statków powietrznych</w:t>
      </w:r>
      <w:r w:rsidR="00544D68">
        <w:t>,</w:t>
      </w:r>
      <w:r w:rsidR="00A848E6">
        <w:t xml:space="preserve"> </w:t>
      </w:r>
      <w:r w:rsidR="00AE20EB">
        <w:t xml:space="preserve">w której </w:t>
      </w:r>
      <w:r w:rsidR="00715A23">
        <w:t>operacje</w:t>
      </w:r>
      <w:r w:rsidR="00AE20EB">
        <w:t xml:space="preserve"> </w:t>
      </w:r>
      <w:r w:rsidR="00147FBF">
        <w:t>z</w:t>
      </w:r>
      <w:r w:rsidR="000F5C84">
        <w:t xml:space="preserve"> użyci</w:t>
      </w:r>
      <w:r w:rsidR="00147FBF">
        <w:t>em</w:t>
      </w:r>
      <w:r w:rsidR="000F5C84">
        <w:t xml:space="preserve"> </w:t>
      </w:r>
      <w:r w:rsidR="00544D68">
        <w:t xml:space="preserve">systemów </w:t>
      </w:r>
      <w:r w:rsidR="00AE20EB">
        <w:t xml:space="preserve">bezzałogowych </w:t>
      </w:r>
      <w:r w:rsidR="00506F7F">
        <w:t xml:space="preserve">statków </w:t>
      </w:r>
      <w:r w:rsidR="00AE20EB">
        <w:t>powietrznych</w:t>
      </w:r>
      <w:r w:rsidR="00AE20EB" w:rsidRPr="00AE20EB">
        <w:t xml:space="preserve"> mogą być wykonywane</w:t>
      </w:r>
      <w:r w:rsidR="00AE20EB">
        <w:t xml:space="preserve"> </w:t>
      </w:r>
      <w:r w:rsidR="005112F0">
        <w:t xml:space="preserve">za zgodą i na </w:t>
      </w:r>
      <w:r w:rsidR="00A848E6">
        <w:t>warunkach określonych</w:t>
      </w:r>
      <w:r w:rsidR="00F17208">
        <w:t xml:space="preserve"> przez Agencję</w:t>
      </w:r>
      <w:r w:rsidR="00A848E6">
        <w:t xml:space="preserve"> </w:t>
      </w:r>
      <w:r w:rsidR="005112F0">
        <w:t>lub podmiot</w:t>
      </w:r>
      <w:r w:rsidR="0014345A">
        <w:t xml:space="preserve"> </w:t>
      </w:r>
      <w:r w:rsidR="005112F0">
        <w:t>uprawnion</w:t>
      </w:r>
      <w:r w:rsidR="0014345A">
        <w:t>y</w:t>
      </w:r>
      <w:r w:rsidR="005112F0">
        <w:t xml:space="preserve">, na wniosek którego strefa </w:t>
      </w:r>
      <w:r w:rsidR="0014345A">
        <w:t>geograficzna została wyznaczona</w:t>
      </w:r>
      <w:r w:rsidR="00147FBF">
        <w:t>,</w:t>
      </w:r>
      <w:r w:rsidR="003E2489">
        <w:t xml:space="preserve"> w</w:t>
      </w:r>
      <w:r w:rsidR="00147FBF">
        <w:t xml:space="preserve"> tym</w:t>
      </w:r>
      <w:r w:rsidR="0014345A">
        <w:t>:</w:t>
      </w:r>
    </w:p>
    <w:p w14:paraId="286ED269" w14:textId="77777777" w:rsidR="00BA24DC" w:rsidRPr="00521BEA" w:rsidRDefault="0014345A" w:rsidP="00521BEA">
      <w:pPr>
        <w:pStyle w:val="LITlitera"/>
      </w:pPr>
      <w:r>
        <w:lastRenderedPageBreak/>
        <w:t>a)</w:t>
      </w:r>
      <w:r w:rsidR="00521BEA">
        <w:tab/>
      </w:r>
      <w:r w:rsidRPr="0014345A">
        <w:t>DRA</w:t>
      </w:r>
      <w:r w:rsidRPr="00521BEA">
        <w:t>-RH – stref</w:t>
      </w:r>
      <w:r w:rsidR="00393D24">
        <w:t>ę</w:t>
      </w:r>
      <w:r w:rsidRPr="00521BEA">
        <w:t xml:space="preserve"> ograniczon</w:t>
      </w:r>
      <w:r w:rsidR="00393D24">
        <w:t>ą</w:t>
      </w:r>
      <w:r w:rsidRPr="00521BEA">
        <w:t xml:space="preserve"> dla systemów bezzałogowych statków powietrznych o wysokim prawdopodobieńst</w:t>
      </w:r>
      <w:r w:rsidR="00D71EE4" w:rsidRPr="00521BEA">
        <w:t xml:space="preserve">wie uzyskania zgody na operacje, o której mowa </w:t>
      </w:r>
      <w:r w:rsidR="00987C4D" w:rsidRPr="00521BEA">
        <w:t>w</w:t>
      </w:r>
      <w:r w:rsidR="00393D24">
        <w:t>e wprowadzeniu do wyliczenia</w:t>
      </w:r>
      <w:r w:rsidR="004F75BE">
        <w:t>,</w:t>
      </w:r>
    </w:p>
    <w:p w14:paraId="3E8ACA2E" w14:textId="77777777" w:rsidR="00D71EE4" w:rsidRPr="00521BEA" w:rsidRDefault="00D71EE4" w:rsidP="00521BEA">
      <w:pPr>
        <w:pStyle w:val="LITlitera"/>
      </w:pPr>
      <w:r w:rsidRPr="00521BEA">
        <w:t>b)</w:t>
      </w:r>
      <w:r w:rsidR="00521BEA">
        <w:tab/>
      </w:r>
      <w:r w:rsidRPr="00521BEA">
        <w:t>DRA-RM – stref</w:t>
      </w:r>
      <w:r w:rsidR="00393D24">
        <w:t>ę</w:t>
      </w:r>
      <w:r w:rsidRPr="00521BEA">
        <w:t xml:space="preserve"> ograniczon</w:t>
      </w:r>
      <w:r w:rsidR="00393D24">
        <w:t>ą</w:t>
      </w:r>
      <w:r w:rsidRPr="00521BEA">
        <w:t xml:space="preserve"> dla systemów bezzałogowych statków powietrznych o średnim prawdopodobieństwie uzyskania zgody na operacje, o której mowa </w:t>
      </w:r>
      <w:r w:rsidR="00393D24" w:rsidRPr="00393D24">
        <w:t>we wprowadzeniu do wyliczenia</w:t>
      </w:r>
      <w:r w:rsidR="004F75BE">
        <w:t>,</w:t>
      </w:r>
    </w:p>
    <w:p w14:paraId="6D7B1DDA" w14:textId="77777777" w:rsidR="00D71EE4" w:rsidRPr="00BA24DC" w:rsidRDefault="00D71EE4" w:rsidP="00521BEA">
      <w:pPr>
        <w:pStyle w:val="LITlitera"/>
      </w:pPr>
      <w:r w:rsidRPr="00521BEA">
        <w:t>c)</w:t>
      </w:r>
      <w:r w:rsidR="00521BEA">
        <w:tab/>
      </w:r>
      <w:r w:rsidRPr="00521BEA">
        <w:t>DRA-RL – stref</w:t>
      </w:r>
      <w:r w:rsidR="00393D24">
        <w:t>ę</w:t>
      </w:r>
      <w:r w:rsidRPr="00521BEA">
        <w:t xml:space="preserve"> ograniczon</w:t>
      </w:r>
      <w:r w:rsidR="00393D24">
        <w:t>ą</w:t>
      </w:r>
      <w:r w:rsidRPr="00521BEA">
        <w:t xml:space="preserve"> dla systemów bezzałogowych statków powietrznych o niskim</w:t>
      </w:r>
      <w:r w:rsidRPr="00D71EE4">
        <w:t xml:space="preserve"> prawdopodobieństwie uzyskania zgody na operacje,</w:t>
      </w:r>
      <w:r>
        <w:t xml:space="preserve"> o której mowa </w:t>
      </w:r>
      <w:r w:rsidR="00393D24" w:rsidRPr="00393D24">
        <w:t>we wprowadzeniu do wyliczenia</w:t>
      </w:r>
      <w:r>
        <w:t>;</w:t>
      </w:r>
    </w:p>
    <w:p w14:paraId="2735178D" w14:textId="77777777" w:rsidR="00D71EE4" w:rsidRDefault="00BA24DC" w:rsidP="00BA24DC">
      <w:pPr>
        <w:pStyle w:val="PKTpunkt"/>
      </w:pPr>
      <w:r w:rsidRPr="00BA24DC">
        <w:t>3)</w:t>
      </w:r>
      <w:r>
        <w:tab/>
      </w:r>
      <w:r w:rsidR="00D71EE4">
        <w:t xml:space="preserve">DRA-T </w:t>
      </w:r>
      <w:r w:rsidR="00147FBF" w:rsidRPr="00D71EE4">
        <w:t>–</w:t>
      </w:r>
      <w:r w:rsidR="00D71EE4">
        <w:t xml:space="preserve"> </w:t>
      </w:r>
      <w:r w:rsidR="00D71EE4" w:rsidRPr="00D71EE4">
        <w:t xml:space="preserve">strefę ograniczoną dla systemów bezzałogowych statków powietrznych, </w:t>
      </w:r>
      <w:r w:rsidR="007F11B0">
        <w:t xml:space="preserve">w której </w:t>
      </w:r>
      <w:r w:rsidR="00E347C4">
        <w:t>operacje z użyciem systemów bezzałogowych statków powietrznych mogą być wykonywane wyłącznie z użyciem</w:t>
      </w:r>
      <w:r w:rsidR="00811584">
        <w:t xml:space="preserve"> </w:t>
      </w:r>
      <w:r w:rsidR="00D71EE4">
        <w:t>system</w:t>
      </w:r>
      <w:r w:rsidR="00E347C4">
        <w:t>ów</w:t>
      </w:r>
      <w:r w:rsidR="00D71EE4">
        <w:t xml:space="preserve"> bezzałogow</w:t>
      </w:r>
      <w:r w:rsidR="00E347C4">
        <w:t>ych</w:t>
      </w:r>
      <w:r w:rsidR="00D71EE4">
        <w:t xml:space="preserve"> statk</w:t>
      </w:r>
      <w:r w:rsidR="00E347C4">
        <w:t>ów</w:t>
      </w:r>
      <w:r w:rsidR="007F11B0">
        <w:t xml:space="preserve"> powietrzn</w:t>
      </w:r>
      <w:r w:rsidR="00E347C4">
        <w:t>ych spełniających wymagania techniczne wskazane przez Agencję oraz na warunkach określonych przez Agencję, jeżeli dla danej strefy takie warunki zostały określone</w:t>
      </w:r>
      <w:r w:rsidR="00C27590">
        <w:t>;</w:t>
      </w:r>
    </w:p>
    <w:p w14:paraId="3AD550AB" w14:textId="77777777" w:rsidR="00C52B47" w:rsidRDefault="001B374B" w:rsidP="002C6E3E">
      <w:pPr>
        <w:pStyle w:val="PKTpunkt"/>
      </w:pPr>
      <w:r>
        <w:t>4)</w:t>
      </w:r>
      <w:r w:rsidR="00C52B47">
        <w:tab/>
        <w:t>D</w:t>
      </w:r>
      <w:r w:rsidR="002C6E3E">
        <w:t xml:space="preserve">RA-U </w:t>
      </w:r>
      <w:r w:rsidR="00147FBF" w:rsidRPr="00D71EE4">
        <w:t>–</w:t>
      </w:r>
      <w:r w:rsidR="002C6E3E">
        <w:t xml:space="preserve"> stref</w:t>
      </w:r>
      <w:r w:rsidR="00F526EC">
        <w:t>ę</w:t>
      </w:r>
      <w:r w:rsidR="002C6E3E">
        <w:t xml:space="preserve"> </w:t>
      </w:r>
      <w:r w:rsidR="00895DDC">
        <w:t>geograficzn</w:t>
      </w:r>
      <w:r w:rsidR="00F526EC">
        <w:t>ą</w:t>
      </w:r>
      <w:r w:rsidR="00895DDC">
        <w:t xml:space="preserve"> </w:t>
      </w:r>
      <w:r w:rsidR="00C52B47">
        <w:t>d</w:t>
      </w:r>
      <w:r w:rsidR="00C52B47" w:rsidRPr="0014345A">
        <w:t>la systemów bezzałogowych statków powietrznych</w:t>
      </w:r>
      <w:r w:rsidR="00C52B47">
        <w:t xml:space="preserve">, </w:t>
      </w:r>
      <w:r w:rsidR="00895DDC">
        <w:t xml:space="preserve">w której operacje </w:t>
      </w:r>
      <w:r w:rsidR="00147FBF">
        <w:t xml:space="preserve">z użyciem </w:t>
      </w:r>
      <w:r w:rsidR="00895DDC">
        <w:t xml:space="preserve">systemów bezzałogowych statków powietrznych </w:t>
      </w:r>
      <w:r w:rsidR="00C27590">
        <w:t>mogą być wykonywane</w:t>
      </w:r>
      <w:r w:rsidR="00A16017">
        <w:t xml:space="preserve"> </w:t>
      </w:r>
      <w:r w:rsidR="00895DDC">
        <w:t>wyłącznie przy wsparciu</w:t>
      </w:r>
      <w:r w:rsidR="00C52B47">
        <w:t xml:space="preserve"> </w:t>
      </w:r>
      <w:r w:rsidR="003331AF">
        <w:t>określonych</w:t>
      </w:r>
      <w:r w:rsidR="00DC67AB">
        <w:t>, zweryfikowanych</w:t>
      </w:r>
      <w:r w:rsidR="00C52B47">
        <w:t xml:space="preserve"> usług</w:t>
      </w:r>
      <w:r w:rsidR="003331AF">
        <w:t xml:space="preserve"> zapewnianych w tej strefie</w:t>
      </w:r>
      <w:r w:rsidR="00E347C4">
        <w:t xml:space="preserve"> oraz</w:t>
      </w:r>
      <w:r w:rsidR="003331AF">
        <w:t xml:space="preserve"> </w:t>
      </w:r>
      <w:r w:rsidR="00C27590">
        <w:t>na warunkach określonych</w:t>
      </w:r>
      <w:r w:rsidR="003331AF">
        <w:t xml:space="preserve"> przez Agencję</w:t>
      </w:r>
      <w:r w:rsidR="00C27590">
        <w:t>;</w:t>
      </w:r>
    </w:p>
    <w:p w14:paraId="24847ECC" w14:textId="14BFB8DA" w:rsidR="00BA24DC" w:rsidRDefault="00C52B47" w:rsidP="00BA24DC">
      <w:pPr>
        <w:pStyle w:val="PKTpunkt"/>
      </w:pPr>
      <w:r>
        <w:t>5</w:t>
      </w:r>
      <w:r w:rsidR="00D71EE4">
        <w:t>)</w:t>
      </w:r>
      <w:r w:rsidR="00D71EE4">
        <w:tab/>
      </w:r>
      <w:r w:rsidR="00BA24DC" w:rsidRPr="00BA24DC">
        <w:t>DRA-I – stref</w:t>
      </w:r>
      <w:r w:rsidR="00B43045">
        <w:t>ę</w:t>
      </w:r>
      <w:r w:rsidR="00BA24DC" w:rsidRPr="00BA24DC">
        <w:t xml:space="preserve"> informacyjną</w:t>
      </w:r>
      <w:r w:rsidR="00981B8B">
        <w:t xml:space="preserve"> dla bezzałogowych statków powietrznych</w:t>
      </w:r>
      <w:r w:rsidR="00BA24DC" w:rsidRPr="00BA24DC">
        <w:t xml:space="preserve">, zawierającą informacje konieczne dla zapewnienia bezpieczeństwa wykonywania </w:t>
      </w:r>
      <w:r w:rsidR="00190E2C">
        <w:t>operacji</w:t>
      </w:r>
      <w:r w:rsidR="00BA24DC" w:rsidRPr="00BA24DC">
        <w:t xml:space="preserve"> </w:t>
      </w:r>
      <w:r w:rsidR="000F5C84">
        <w:t xml:space="preserve">przy użyciu </w:t>
      </w:r>
      <w:r w:rsidR="00544D68">
        <w:t>system</w:t>
      </w:r>
      <w:r w:rsidR="00347F9B">
        <w:t>ów</w:t>
      </w:r>
      <w:r w:rsidR="00544D68">
        <w:t xml:space="preserve"> </w:t>
      </w:r>
      <w:r w:rsidR="00BA24DC" w:rsidRPr="00BA24DC">
        <w:t>bezzałogowy</w:t>
      </w:r>
      <w:r w:rsidR="00544D68">
        <w:t>ch</w:t>
      </w:r>
      <w:r w:rsidR="00BA24DC" w:rsidRPr="00BA24DC">
        <w:t xml:space="preserve"> </w:t>
      </w:r>
      <w:r w:rsidR="00FC74C6">
        <w:t>statk</w:t>
      </w:r>
      <w:r w:rsidR="00544D68">
        <w:t>ów</w:t>
      </w:r>
      <w:r w:rsidR="00C511A7">
        <w:t xml:space="preserve"> </w:t>
      </w:r>
      <w:r w:rsidR="00BA24DC" w:rsidRPr="00BA24DC">
        <w:t>powietrzny</w:t>
      </w:r>
      <w:r w:rsidR="00544D68">
        <w:t>ch</w:t>
      </w:r>
      <w:r w:rsidR="00BA24DC" w:rsidRPr="00BA24DC">
        <w:t>, w tym ostrzeżenia nawigacyjne.</w:t>
      </w:r>
    </w:p>
    <w:p w14:paraId="29B5E24E" w14:textId="6947650B" w:rsidR="00336C16" w:rsidRDefault="00336C16" w:rsidP="00336C16">
      <w:pPr>
        <w:pStyle w:val="USTustnpkodeksu"/>
      </w:pPr>
      <w:r>
        <w:t>2. </w:t>
      </w:r>
      <w:r w:rsidRPr="00F31736">
        <w:t>Strefy DRA-U mogą być wyznaczane przez Agencję z własnej inicjatywy</w:t>
      </w:r>
      <w:r>
        <w:t>,</w:t>
      </w:r>
      <w:r w:rsidRPr="00F31736">
        <w:t xml:space="preserve"> po </w:t>
      </w:r>
      <w:r>
        <w:t>uzyskaniu pozytywnej opinii Prezesa Urzędu Lotnictwa Cywilnego. Prezes Urzędu Lotnictwa Cywilnego wyraża opinię w terminie 14 dni od dnia otrzymania wystąpienia Agencji</w:t>
      </w:r>
      <w:r w:rsidRPr="00F31736">
        <w:t>.</w:t>
      </w:r>
      <w:r>
        <w:t xml:space="preserve"> Nieprzedstawienie przez Prezesa Urzędu Lotnictwa Cywilnego opinii we wskazanym terminie uznaje się za wyrażenie opinii pozytywnej.</w:t>
      </w:r>
    </w:p>
    <w:p w14:paraId="0A012750" w14:textId="77777777" w:rsidR="00BA24DC" w:rsidRPr="00BA24DC" w:rsidRDefault="00BA24DC" w:rsidP="00BA24DC">
      <w:pPr>
        <w:pStyle w:val="ROZDZODDZOZNoznaczenierozdziauluboddziau"/>
      </w:pPr>
      <w:r w:rsidRPr="00BA24DC">
        <w:lastRenderedPageBreak/>
        <w:t>Rozdział 3</w:t>
      </w:r>
    </w:p>
    <w:p w14:paraId="694DDB50" w14:textId="05C6EDBB" w:rsidR="00BA24DC" w:rsidRDefault="001865FC" w:rsidP="00DB725E">
      <w:pPr>
        <w:pStyle w:val="ROZDZODDZPRZEDMprzedmiotregulacjirozdziauluboddziau"/>
      </w:pPr>
      <w:r>
        <w:t>Wyznaczanie</w:t>
      </w:r>
      <w:r w:rsidRPr="00BA24DC">
        <w:t xml:space="preserve"> </w:t>
      </w:r>
      <w:r w:rsidR="00BA24DC" w:rsidRPr="00BA24DC">
        <w:t>stref geograficznych</w:t>
      </w:r>
      <w:r w:rsidR="00AB3816" w:rsidRPr="00AB3816">
        <w:t xml:space="preserve"> oraz warunki i sposób korzystania z tych stref</w:t>
      </w:r>
    </w:p>
    <w:p w14:paraId="12A7B55C" w14:textId="78ED2B50" w:rsidR="000B0831" w:rsidRDefault="00BA24DC" w:rsidP="00336C16">
      <w:pPr>
        <w:pStyle w:val="ARTartustawynprozporzdzenia"/>
        <w:keepNext/>
      </w:pPr>
      <w:bookmarkStart w:id="4" w:name="_Hlk60851446"/>
      <w:r w:rsidRPr="00BA24DC">
        <w:rPr>
          <w:rStyle w:val="Ppogrubienie"/>
        </w:rPr>
        <w:t>§ </w:t>
      </w:r>
      <w:r w:rsidR="00336C16">
        <w:rPr>
          <w:rStyle w:val="Ppogrubienie"/>
        </w:rPr>
        <w:t>4</w:t>
      </w:r>
      <w:r w:rsidRPr="00BA24DC">
        <w:rPr>
          <w:rStyle w:val="Ppogrubienie"/>
        </w:rPr>
        <w:t>.</w:t>
      </w:r>
      <w:r>
        <w:t> </w:t>
      </w:r>
      <w:bookmarkEnd w:id="4"/>
      <w:r w:rsidR="001B374B">
        <w:t>1. </w:t>
      </w:r>
      <w:r w:rsidRPr="00BA24DC">
        <w:t>Wniosek o wyznaczenie strefy geograficznej składa się</w:t>
      </w:r>
      <w:r w:rsidR="000B0831">
        <w:t xml:space="preserve"> do Agencji</w:t>
      </w:r>
      <w:r w:rsidRPr="00BA24DC">
        <w:t xml:space="preserve"> nie później niż</w:t>
      </w:r>
      <w:r w:rsidR="006626FC">
        <w:t xml:space="preserve"> w terminie</w:t>
      </w:r>
      <w:r w:rsidR="000B0831">
        <w:t>:</w:t>
      </w:r>
    </w:p>
    <w:p w14:paraId="46E5547D" w14:textId="5E14A5A0" w:rsidR="00875718" w:rsidRDefault="00161EA9" w:rsidP="0096168F">
      <w:pPr>
        <w:pStyle w:val="PKTpunkt"/>
      </w:pPr>
      <w:r>
        <w:t>1</w:t>
      </w:r>
      <w:r w:rsidR="000B0831">
        <w:t>)</w:t>
      </w:r>
      <w:r w:rsidR="000B0831">
        <w:tab/>
      </w:r>
      <w:r w:rsidR="00875718">
        <w:t>7 dni</w:t>
      </w:r>
      <w:r w:rsidR="00BA24DC" w:rsidRPr="00BA24DC">
        <w:t xml:space="preserve"> kalendarzowych przed planowaną datą rozpoczęcia obowiązywania strefy geograficznej</w:t>
      </w:r>
      <w:r w:rsidR="00875718">
        <w:t xml:space="preserve">, której okres obowiązywania ma być </w:t>
      </w:r>
      <w:r w:rsidR="004E5C0E">
        <w:t xml:space="preserve">równy albo </w:t>
      </w:r>
      <w:r w:rsidR="00875718">
        <w:t>krótsz</w:t>
      </w:r>
      <w:r w:rsidR="004E5C0E">
        <w:t>y</w:t>
      </w:r>
      <w:r w:rsidR="00875718">
        <w:t xml:space="preserve"> niż miesiąc (strefa </w:t>
      </w:r>
      <w:r w:rsidR="00017850">
        <w:t xml:space="preserve">geograficzna </w:t>
      </w:r>
      <w:r w:rsidR="00875718">
        <w:t>krótkotrwała);</w:t>
      </w:r>
    </w:p>
    <w:p w14:paraId="66E71B3C" w14:textId="75266C46" w:rsidR="00BA24DC" w:rsidRPr="00BA24DC" w:rsidRDefault="00161EA9" w:rsidP="0096168F">
      <w:pPr>
        <w:pStyle w:val="PKTpunkt"/>
      </w:pPr>
      <w:r>
        <w:t>2</w:t>
      </w:r>
      <w:r w:rsidR="00875718">
        <w:t>)</w:t>
      </w:r>
      <w:r w:rsidR="00875718">
        <w:tab/>
        <w:t xml:space="preserve">30 dni </w:t>
      </w:r>
      <w:r w:rsidR="00875718" w:rsidRPr="00BA24DC">
        <w:t>kalendarzowych przed planowaną datą rozpoczęcia obowiązywania strefy geograficznej</w:t>
      </w:r>
      <w:r w:rsidR="00875718">
        <w:t>, której okres obowiązywania ma być dłuższy niż miesiąc (strefa</w:t>
      </w:r>
      <w:r w:rsidR="00017850">
        <w:t xml:space="preserve"> geograficzna</w:t>
      </w:r>
      <w:r w:rsidR="00875718">
        <w:t xml:space="preserve"> długotrwała)</w:t>
      </w:r>
      <w:r w:rsidR="00BA24DC" w:rsidRPr="00BA24DC">
        <w:t>.</w:t>
      </w:r>
    </w:p>
    <w:p w14:paraId="4B0CAA75" w14:textId="77777777" w:rsidR="00BA24DC" w:rsidRPr="00BA24DC" w:rsidRDefault="00BA24DC" w:rsidP="00BA24DC">
      <w:pPr>
        <w:pStyle w:val="USTustnpkodeksu"/>
        <w:keepNext/>
      </w:pPr>
      <w:r w:rsidRPr="00BA24DC">
        <w:t>2.</w:t>
      </w:r>
      <w:r w:rsidR="001B374B">
        <w:t> </w:t>
      </w:r>
      <w:r w:rsidRPr="00BA24DC">
        <w:t>Wniosek o wyznaczenie strefy geograficznej zawiera:</w:t>
      </w:r>
    </w:p>
    <w:p w14:paraId="3FF4264B" w14:textId="77777777" w:rsidR="00BA24DC" w:rsidRDefault="00BA24DC" w:rsidP="00BA24DC">
      <w:pPr>
        <w:pStyle w:val="PKTpunkt"/>
      </w:pPr>
      <w:r w:rsidRPr="00BA24DC">
        <w:t>1)</w:t>
      </w:r>
      <w:r>
        <w:tab/>
      </w:r>
      <w:r w:rsidRPr="00BA24DC">
        <w:t>nazwę</w:t>
      </w:r>
      <w:r w:rsidR="008936B8">
        <w:t xml:space="preserve"> i dane identyfikacyjne oraz dane kontaktowe</w:t>
      </w:r>
      <w:r w:rsidRPr="00BA24DC">
        <w:t xml:space="preserve"> podmiotu </w:t>
      </w:r>
      <w:r w:rsidR="006801A7" w:rsidRPr="006801A7">
        <w:t>uprawnione</w:t>
      </w:r>
      <w:r w:rsidR="006801A7">
        <w:t>go</w:t>
      </w:r>
      <w:r w:rsidR="004D4F4C">
        <w:t xml:space="preserve"> wraz z danymi kontaktowymi do osoby wnioskującej o</w:t>
      </w:r>
      <w:r w:rsidR="00065B56">
        <w:t xml:space="preserve"> wyznaczenie</w:t>
      </w:r>
      <w:r w:rsidR="004D4F4C">
        <w:t xml:space="preserve"> stref</w:t>
      </w:r>
      <w:r w:rsidR="00065B56">
        <w:t>y</w:t>
      </w:r>
      <w:r w:rsidR="004D4F4C">
        <w:t xml:space="preserve"> geograficzn</w:t>
      </w:r>
      <w:r w:rsidR="00065B56">
        <w:t>ej</w:t>
      </w:r>
      <w:r w:rsidR="008936B8">
        <w:t xml:space="preserve"> w imieniu podmiotu uprawnionego</w:t>
      </w:r>
      <w:r w:rsidR="00570B39">
        <w:t>;</w:t>
      </w:r>
    </w:p>
    <w:p w14:paraId="146DD248" w14:textId="72FC522D" w:rsidR="005241EB" w:rsidRPr="00D84EAB" w:rsidRDefault="00BA24DC">
      <w:pPr>
        <w:pStyle w:val="PKTpunkt"/>
      </w:pPr>
      <w:r w:rsidRPr="00BA24DC">
        <w:t>2)</w:t>
      </w:r>
      <w:r>
        <w:tab/>
      </w:r>
      <w:r w:rsidR="00CA03E0">
        <w:t>uzasadnienie wyznaczenia</w:t>
      </w:r>
      <w:r w:rsidR="003E317F">
        <w:t xml:space="preserve"> strefy geograficznej</w:t>
      </w:r>
      <w:r w:rsidR="004F75BE">
        <w:t>,</w:t>
      </w:r>
      <w:r w:rsidR="003E317F">
        <w:t xml:space="preserve"> obejmujące </w:t>
      </w:r>
      <w:r w:rsidRPr="00BA24DC">
        <w:t>charakter zagrożenia</w:t>
      </w:r>
      <w:r w:rsidR="00305F72">
        <w:t xml:space="preserve"> </w:t>
      </w:r>
      <w:r w:rsidR="006801A7">
        <w:t xml:space="preserve">i </w:t>
      </w:r>
      <w:r w:rsidR="00A05014">
        <w:t xml:space="preserve">opis oczekiwanych rezultatów </w:t>
      </w:r>
      <w:r w:rsidR="00585FAD">
        <w:t>wyznaczenia</w:t>
      </w:r>
      <w:r w:rsidR="00A05014">
        <w:t xml:space="preserve"> strefy geograficznej</w:t>
      </w:r>
      <w:r w:rsidR="008936B8">
        <w:t xml:space="preserve"> umożliwiający Agencji przeprowadzenie </w:t>
      </w:r>
      <w:r w:rsidR="00D84EAB" w:rsidRPr="00D84EAB">
        <w:t>ocen</w:t>
      </w:r>
      <w:r w:rsidR="008936B8">
        <w:t>y</w:t>
      </w:r>
      <w:r w:rsidR="00D84EAB" w:rsidRPr="00D84EAB">
        <w:t xml:space="preserve"> ryzyka operacyjnego</w:t>
      </w:r>
      <w:r w:rsidR="008936B8">
        <w:t xml:space="preserve">, o której mowa w </w:t>
      </w:r>
      <w:r w:rsidR="00D84EAB" w:rsidRPr="00D84EAB">
        <w:t>art. 1</w:t>
      </w:r>
      <w:r w:rsidR="008936B8">
        <w:t>5 ust. 2</w:t>
      </w:r>
      <w:r w:rsidR="00D84EAB" w:rsidRPr="00D84EAB">
        <w:t xml:space="preserve"> rozporządzenia</w:t>
      </w:r>
      <w:r w:rsidR="00D84EAB">
        <w:t xml:space="preserve"> nr 2019/947/UE;</w:t>
      </w:r>
    </w:p>
    <w:p w14:paraId="5428CF20" w14:textId="77777777" w:rsidR="00BA24DC" w:rsidRPr="00BA24DC" w:rsidRDefault="0019515D" w:rsidP="00BA24DC">
      <w:pPr>
        <w:pStyle w:val="PKTpunkt"/>
      </w:pPr>
      <w:r>
        <w:t>3</w:t>
      </w:r>
      <w:r w:rsidR="00BA24DC" w:rsidRPr="00BA24DC">
        <w:t>)</w:t>
      </w:r>
      <w:r w:rsidR="00BA24DC">
        <w:tab/>
      </w:r>
      <w:r w:rsidR="00BA24DC" w:rsidRPr="00BA24DC">
        <w:t>granice poziome</w:t>
      </w:r>
      <w:r w:rsidR="004D4F4C">
        <w:t xml:space="preserve"> i </w:t>
      </w:r>
      <w:r w:rsidR="006779FA">
        <w:t>pionowe</w:t>
      </w:r>
      <w:r w:rsidR="00CA03E0">
        <w:t xml:space="preserve"> </w:t>
      </w:r>
      <w:r w:rsidR="00A842FF">
        <w:t xml:space="preserve">wnioskowanej </w:t>
      </w:r>
      <w:r w:rsidR="00A1044E">
        <w:t>strefy geograficznej;</w:t>
      </w:r>
    </w:p>
    <w:p w14:paraId="3C9ED697" w14:textId="77777777" w:rsidR="00BA24DC" w:rsidRDefault="0019515D" w:rsidP="00BA24DC">
      <w:pPr>
        <w:pStyle w:val="PKTpunkt"/>
      </w:pPr>
      <w:r>
        <w:t>4</w:t>
      </w:r>
      <w:r w:rsidR="00BA24DC" w:rsidRPr="00BA24DC">
        <w:t>)</w:t>
      </w:r>
      <w:r w:rsidR="00BA24DC">
        <w:tab/>
      </w:r>
      <w:r w:rsidR="00861272">
        <w:t xml:space="preserve">proponowany </w:t>
      </w:r>
      <w:r w:rsidR="00BE5CA5">
        <w:t>termin</w:t>
      </w:r>
      <w:r w:rsidR="00BE5CA5" w:rsidRPr="00BA24DC">
        <w:t xml:space="preserve"> </w:t>
      </w:r>
      <w:r w:rsidR="00C01BF0">
        <w:t>r</w:t>
      </w:r>
      <w:r w:rsidR="00BA24DC" w:rsidRPr="00BA24DC">
        <w:t>ozpoczęcia i zakończenia obowiązywania wnioskowanej strefy geograficznej;</w:t>
      </w:r>
    </w:p>
    <w:p w14:paraId="349B4223" w14:textId="77777777" w:rsidR="00161EA9" w:rsidRDefault="0019515D" w:rsidP="00BA24DC">
      <w:pPr>
        <w:pStyle w:val="PKTpunkt"/>
      </w:pPr>
      <w:r>
        <w:t>5</w:t>
      </w:r>
      <w:r w:rsidR="00F43E47">
        <w:t>)</w:t>
      </w:r>
      <w:r w:rsidR="00F43E47">
        <w:tab/>
        <w:t>potwierdzenie wniesienia opłaty</w:t>
      </w:r>
      <w:r w:rsidR="00861272">
        <w:t xml:space="preserve"> </w:t>
      </w:r>
      <w:r w:rsidR="00076858">
        <w:t>za przeprowadzenie oceny</w:t>
      </w:r>
      <w:r w:rsidR="00C31FB1">
        <w:t xml:space="preserve"> </w:t>
      </w:r>
      <w:r w:rsidR="00367005">
        <w:t>wstępnej</w:t>
      </w:r>
      <w:r w:rsidR="00585FAD">
        <w:t>, w przypadku gdy opłata</w:t>
      </w:r>
      <w:r w:rsidR="00367005" w:rsidDel="00076858">
        <w:t xml:space="preserve"> </w:t>
      </w:r>
      <w:r w:rsidR="00F43E47">
        <w:t>nie jest wnoszona za pośrednictwem systemu teleinformatycznego wskazanego przez Agencję</w:t>
      </w:r>
      <w:r w:rsidR="00161EA9">
        <w:t>.</w:t>
      </w:r>
    </w:p>
    <w:p w14:paraId="4345060A" w14:textId="77777777" w:rsidR="00161EA9" w:rsidRPr="0019515D" w:rsidRDefault="001B374B" w:rsidP="0019515D">
      <w:pPr>
        <w:pStyle w:val="USTustnpkodeksu"/>
      </w:pPr>
      <w:r>
        <w:t>3. </w:t>
      </w:r>
      <w:r w:rsidR="00A05014">
        <w:t xml:space="preserve">We wniosku </w:t>
      </w:r>
      <w:r w:rsidR="006B1CC4" w:rsidRPr="006B1CC4">
        <w:t xml:space="preserve">o wyznaczenie strefy </w:t>
      </w:r>
      <w:r w:rsidR="006B1CC4" w:rsidRPr="0019515D">
        <w:t xml:space="preserve">geograficznej </w:t>
      </w:r>
      <w:r w:rsidR="00A05014" w:rsidRPr="0019515D">
        <w:t>podmiot</w:t>
      </w:r>
      <w:r w:rsidR="006B1CC4" w:rsidRPr="0019515D">
        <w:t xml:space="preserve"> uprawniony </w:t>
      </w:r>
      <w:r w:rsidR="00A05014" w:rsidRPr="0019515D">
        <w:t xml:space="preserve">może określić proponowane warunki </w:t>
      </w:r>
      <w:r w:rsidR="00BA24DC" w:rsidRPr="0019515D">
        <w:t xml:space="preserve">wykonywania operacji </w:t>
      </w:r>
      <w:r w:rsidR="00C449EA" w:rsidRPr="0019515D">
        <w:t xml:space="preserve">z </w:t>
      </w:r>
      <w:r w:rsidR="00BA24DC" w:rsidRPr="0019515D">
        <w:t>użyci</w:t>
      </w:r>
      <w:r w:rsidR="00C449EA" w:rsidRPr="0019515D">
        <w:t>em</w:t>
      </w:r>
      <w:r w:rsidR="00BA24DC" w:rsidRPr="0019515D">
        <w:t xml:space="preserve"> </w:t>
      </w:r>
      <w:r w:rsidR="00544D68" w:rsidRPr="0019515D">
        <w:t xml:space="preserve">systemu </w:t>
      </w:r>
      <w:r w:rsidR="00BA24DC" w:rsidRPr="0019515D">
        <w:t xml:space="preserve">bezzałogowego </w:t>
      </w:r>
      <w:r w:rsidR="002A2AE2" w:rsidRPr="0019515D">
        <w:t xml:space="preserve">statku </w:t>
      </w:r>
      <w:r w:rsidR="00BA24DC" w:rsidRPr="0019515D">
        <w:t>powietrznego</w:t>
      </w:r>
      <w:r w:rsidR="00BA7C5B" w:rsidRPr="0019515D">
        <w:t xml:space="preserve"> we wnioskowanej </w:t>
      </w:r>
      <w:r w:rsidR="00BA24DC" w:rsidRPr="0019515D">
        <w:t>strefie geograficznej.</w:t>
      </w:r>
    </w:p>
    <w:p w14:paraId="4A0598DB" w14:textId="51E89736" w:rsidR="005F258B" w:rsidRDefault="00017850" w:rsidP="00693E0A">
      <w:pPr>
        <w:pStyle w:val="USTustnpkodeksu"/>
      </w:pPr>
      <w:r w:rsidRPr="0019515D">
        <w:t>4</w:t>
      </w:r>
      <w:r w:rsidR="001B374B">
        <w:t>. </w:t>
      </w:r>
      <w:r w:rsidRPr="0019515D">
        <w:t xml:space="preserve">W </w:t>
      </w:r>
      <w:r w:rsidR="00D84EAB" w:rsidRPr="00693E0A">
        <w:t>przypadkach</w:t>
      </w:r>
      <w:r w:rsidR="00D84EAB" w:rsidRPr="0019515D">
        <w:t xml:space="preserve"> niecierpiących zwłoki, uzasadnionych</w:t>
      </w:r>
      <w:r w:rsidR="00D84EAB" w:rsidRPr="00D84EAB">
        <w:t xml:space="preserve"> interesem publicznym lub społecznym, wniosek </w:t>
      </w:r>
      <w:r w:rsidR="002A2AE2">
        <w:t>podmiot</w:t>
      </w:r>
      <w:r w:rsidR="006626FC">
        <w:t>u</w:t>
      </w:r>
      <w:r w:rsidR="006B1CC4">
        <w:t xml:space="preserve"> uprawnion</w:t>
      </w:r>
      <w:r w:rsidR="006626FC">
        <w:t>ego</w:t>
      </w:r>
      <w:r w:rsidR="002A2AE2">
        <w:t>, o który</w:t>
      </w:r>
      <w:r w:rsidR="006626FC">
        <w:t>m</w:t>
      </w:r>
      <w:r w:rsidR="002A2AE2">
        <w:t xml:space="preserve"> mowa w </w:t>
      </w:r>
      <w:r w:rsidR="00336C16">
        <w:t xml:space="preserve">art. 156h ust. </w:t>
      </w:r>
      <w:r w:rsidR="006626FC">
        <w:t>1</w:t>
      </w:r>
      <w:r w:rsidR="00336C16">
        <w:t xml:space="preserve"> pkt </w:t>
      </w:r>
      <w:r w:rsidR="006626FC">
        <w:t>2</w:t>
      </w:r>
      <w:r w:rsidR="00336C16">
        <w:t xml:space="preserve"> ustawy</w:t>
      </w:r>
      <w:r w:rsidR="002A2AE2">
        <w:t xml:space="preserve">, </w:t>
      </w:r>
      <w:r w:rsidR="00D84EAB" w:rsidRPr="00D84EAB">
        <w:t>może być złożony bez zachowania terminu określonego w</w:t>
      </w:r>
      <w:r w:rsidR="002A2AE2" w:rsidRPr="002A2AE2">
        <w:t xml:space="preserve"> </w:t>
      </w:r>
      <w:r w:rsidR="002A2AE2">
        <w:t xml:space="preserve">ust. 1 </w:t>
      </w:r>
      <w:r w:rsidR="00161EA9">
        <w:t>pkt 1</w:t>
      </w:r>
      <w:r>
        <w:t xml:space="preserve">. Okres obowiązywania strefy geograficznej wyznaczonej przez Agencję </w:t>
      </w:r>
      <w:r w:rsidR="007256ED">
        <w:t xml:space="preserve">na </w:t>
      </w:r>
      <w:r>
        <w:t xml:space="preserve">taki wniosek </w:t>
      </w:r>
      <w:r w:rsidR="001B374B">
        <w:t>nie może być dłuższy niż 7 dni.</w:t>
      </w:r>
    </w:p>
    <w:p w14:paraId="53C5E0A0" w14:textId="77777777" w:rsidR="00693E0A" w:rsidRPr="00693E0A" w:rsidRDefault="00693E0A" w:rsidP="00693E0A">
      <w:pPr>
        <w:pStyle w:val="USTustnpkodeksu"/>
      </w:pPr>
      <w:r>
        <w:lastRenderedPageBreak/>
        <w:t>5</w:t>
      </w:r>
      <w:r w:rsidR="001B374B">
        <w:t>. </w:t>
      </w:r>
      <w:r w:rsidRPr="00693E0A">
        <w:t>Jeżeli wniosek o wyznaczenie strefy geograficznej nie spełnia wymagań określonych w ust. 2, Agencja wzywa podmiot uprawniony do usunięcia braków w wyznaczonym terminie.</w:t>
      </w:r>
      <w:r w:rsidR="0010697A">
        <w:t xml:space="preserve"> Nieusunięcie braków w terminie skutkuje pozostawieniem wniosku bez rozpoznania.</w:t>
      </w:r>
    </w:p>
    <w:p w14:paraId="69473682" w14:textId="5548713B" w:rsidR="0010697A" w:rsidRDefault="0010697A" w:rsidP="00E124B3">
      <w:pPr>
        <w:pStyle w:val="ARTartustawynprozporzdzenia"/>
      </w:pPr>
      <w:bookmarkStart w:id="5" w:name="_Hlk60856823"/>
      <w:r w:rsidRPr="00E124B3">
        <w:rPr>
          <w:rStyle w:val="Ppogrubienie"/>
        </w:rPr>
        <w:t>§</w:t>
      </w:r>
      <w:bookmarkEnd w:id="5"/>
      <w:r w:rsidR="001B374B">
        <w:rPr>
          <w:rStyle w:val="Ppogrubienie"/>
        </w:rPr>
        <w:t> </w:t>
      </w:r>
      <w:r w:rsidR="00336C16">
        <w:rPr>
          <w:rStyle w:val="Ppogrubienie"/>
        </w:rPr>
        <w:t>5</w:t>
      </w:r>
      <w:r w:rsidRPr="00E124B3">
        <w:rPr>
          <w:rStyle w:val="Ppogrubienie"/>
        </w:rPr>
        <w:t>.</w:t>
      </w:r>
      <w:r w:rsidR="001B374B">
        <w:t> </w:t>
      </w:r>
      <w:r>
        <w:t>1</w:t>
      </w:r>
      <w:r w:rsidR="00861272" w:rsidRPr="00693E0A">
        <w:t>.</w:t>
      </w:r>
      <w:r w:rsidR="001B374B">
        <w:t> </w:t>
      </w:r>
      <w:r w:rsidR="00861272" w:rsidRPr="00693E0A">
        <w:t>Agencja dokonuje oceny wstępnej wniosku</w:t>
      </w:r>
      <w:r w:rsidR="00693E0A" w:rsidRPr="00693E0A">
        <w:t xml:space="preserve"> </w:t>
      </w:r>
      <w:bookmarkStart w:id="6" w:name="_Hlk60851109"/>
      <w:r w:rsidR="00693E0A" w:rsidRPr="00693E0A">
        <w:t>o wyznaczenie strefy geograficznej</w:t>
      </w:r>
      <w:r>
        <w:t xml:space="preserve">, </w:t>
      </w:r>
      <w:bookmarkEnd w:id="6"/>
      <w:r>
        <w:t xml:space="preserve">polegającej na </w:t>
      </w:r>
      <w:r w:rsidR="00175E2E">
        <w:t>ustaleniu</w:t>
      </w:r>
      <w:r w:rsidR="00861272" w:rsidRPr="00693E0A">
        <w:t xml:space="preserve">, </w:t>
      </w:r>
      <w:bookmarkStart w:id="7" w:name="_Hlk60851606"/>
      <w:r w:rsidR="00861272" w:rsidRPr="00693E0A">
        <w:t xml:space="preserve">czy </w:t>
      </w:r>
      <w:r w:rsidR="004D4F4C">
        <w:t>dana strefa geograficzna jest możliwa do w</w:t>
      </w:r>
      <w:r w:rsidR="00CA03E0">
        <w:t>yznaczenia</w:t>
      </w:r>
      <w:r w:rsidR="00F662F0">
        <w:t xml:space="preserve"> oraz</w:t>
      </w:r>
      <w:r w:rsidR="004D4F4C">
        <w:t xml:space="preserve"> czy </w:t>
      </w:r>
      <w:r w:rsidR="00861272" w:rsidRPr="00693E0A">
        <w:t xml:space="preserve">realizacja </w:t>
      </w:r>
      <w:bookmarkStart w:id="8" w:name="_Hlk60851926"/>
      <w:r w:rsidR="00861272" w:rsidRPr="00693E0A">
        <w:t xml:space="preserve">oczekiwanych rezultatów określonych przez </w:t>
      </w:r>
      <w:r w:rsidR="001A7D68">
        <w:t>podmiot uprawniony</w:t>
      </w:r>
      <w:bookmarkEnd w:id="8"/>
      <w:r w:rsidR="00861272" w:rsidRPr="00693E0A">
        <w:t xml:space="preserve"> może nastąpić przez wyznaczenie jednej czy </w:t>
      </w:r>
      <w:r w:rsidR="00291CE7" w:rsidRPr="00693E0A">
        <w:t>wię</w:t>
      </w:r>
      <w:r w:rsidR="00291CE7">
        <w:t xml:space="preserve">kszej liczby </w:t>
      </w:r>
      <w:r w:rsidR="00861272" w:rsidRPr="00861272">
        <w:t>stref geograficznych</w:t>
      </w:r>
      <w:bookmarkEnd w:id="7"/>
      <w:r>
        <w:t>.</w:t>
      </w:r>
    </w:p>
    <w:p w14:paraId="6C031801" w14:textId="77777777" w:rsidR="00861272" w:rsidRDefault="001B374B" w:rsidP="00693E0A">
      <w:pPr>
        <w:pStyle w:val="USTustnpkodeksu"/>
      </w:pPr>
      <w:r>
        <w:t>2. </w:t>
      </w:r>
      <w:r w:rsidR="0010697A">
        <w:t xml:space="preserve">Agencja przekazuje </w:t>
      </w:r>
      <w:r w:rsidR="001A7D68">
        <w:t>podmiotowi uprawnionemu</w:t>
      </w:r>
      <w:r w:rsidR="0010697A">
        <w:t xml:space="preserve"> wynik oceny wstępnej wniosku </w:t>
      </w:r>
      <w:r w:rsidR="0010697A" w:rsidRPr="00264731">
        <w:t>o wyznaczenie strefy geograficznej</w:t>
      </w:r>
      <w:r w:rsidR="0010697A">
        <w:t>, który</w:t>
      </w:r>
      <w:r w:rsidR="0010697A" w:rsidRPr="00693E0A">
        <w:t xml:space="preserve"> </w:t>
      </w:r>
      <w:r w:rsidR="0010697A">
        <w:t xml:space="preserve">zawiera w szczególności </w:t>
      </w:r>
      <w:r w:rsidR="00264731">
        <w:t xml:space="preserve">informację na temat </w:t>
      </w:r>
      <w:r w:rsidR="00861272" w:rsidRPr="00861272">
        <w:t>szacunkow</w:t>
      </w:r>
      <w:r w:rsidR="00264731">
        <w:t>ej</w:t>
      </w:r>
      <w:r w:rsidR="00861272" w:rsidRPr="00861272">
        <w:t xml:space="preserve"> liczb</w:t>
      </w:r>
      <w:r w:rsidR="00264731">
        <w:t>y</w:t>
      </w:r>
      <w:r w:rsidR="00861272" w:rsidRPr="00861272">
        <w:t xml:space="preserve"> stref geograficznych </w:t>
      </w:r>
      <w:r w:rsidR="00264731">
        <w:t>niezbędnych</w:t>
      </w:r>
      <w:r w:rsidR="005E7D2D">
        <w:t xml:space="preserve"> do wyznaczenia w celu</w:t>
      </w:r>
      <w:r w:rsidR="00264731">
        <w:t xml:space="preserve"> osiągnięcia</w:t>
      </w:r>
      <w:r w:rsidR="0010697A" w:rsidRPr="0010697A">
        <w:t xml:space="preserve"> oczekiwanych rezultatów określonych przez </w:t>
      </w:r>
      <w:r w:rsidR="001A7D68">
        <w:t>podmiot uprawniony</w:t>
      </w:r>
      <w:r w:rsidR="00291CE7" w:rsidRPr="00291CE7">
        <w:t xml:space="preserve"> </w:t>
      </w:r>
      <w:r w:rsidR="00861272" w:rsidRPr="00861272">
        <w:t>oraz rodzaj</w:t>
      </w:r>
      <w:r w:rsidR="0010697A">
        <w:t>u tych stref</w:t>
      </w:r>
      <w:r w:rsidR="00861272" w:rsidRPr="00861272">
        <w:t>.</w:t>
      </w:r>
    </w:p>
    <w:p w14:paraId="4DBCC517" w14:textId="62FDDB97" w:rsidR="006A4BCF" w:rsidRPr="00861272" w:rsidRDefault="006A4BCF" w:rsidP="00693E0A">
      <w:pPr>
        <w:pStyle w:val="USTustnpkodeksu"/>
      </w:pPr>
      <w:r>
        <w:t>3.</w:t>
      </w:r>
      <w:r w:rsidR="002137E2">
        <w:t> </w:t>
      </w:r>
      <w:r w:rsidR="00802ABD">
        <w:t>Przepisu ust. 2</w:t>
      </w:r>
      <w:r>
        <w:t xml:space="preserve"> nie stosuje się</w:t>
      </w:r>
      <w:r w:rsidR="00EA139F">
        <w:t>, jeżeli</w:t>
      </w:r>
      <w:r>
        <w:t xml:space="preserve"> strefa geograficzna </w:t>
      </w:r>
      <w:r w:rsidR="00802ABD">
        <w:t xml:space="preserve">jest </w:t>
      </w:r>
      <w:r>
        <w:t>wyznaczana w przypadkach nie</w:t>
      </w:r>
      <w:r w:rsidR="00336C16">
        <w:t>cierpiących zwłoki zgodnie z § 4</w:t>
      </w:r>
      <w:r>
        <w:t xml:space="preserve"> ust. 4. W t</w:t>
      </w:r>
      <w:r w:rsidR="006626FC">
        <w:t>ym</w:t>
      </w:r>
      <w:r>
        <w:t xml:space="preserve"> </w:t>
      </w:r>
      <w:r w:rsidR="00802ABD">
        <w:t>przy</w:t>
      </w:r>
      <w:r>
        <w:t>padku Agencja po dokonaniu oceny wstępnej wyznacza strefę geograficzną zgodnie z treścią wniosku podmiotu uprawnionego.</w:t>
      </w:r>
    </w:p>
    <w:p w14:paraId="5DE1DE64" w14:textId="60CAD65A" w:rsidR="00BE3CE5" w:rsidRDefault="001B374B" w:rsidP="00E124B3">
      <w:pPr>
        <w:pStyle w:val="ARTartustawynprozporzdzenia"/>
      </w:pPr>
      <w:r>
        <w:rPr>
          <w:rStyle w:val="Ppogrubienie"/>
        </w:rPr>
        <w:t>§ </w:t>
      </w:r>
      <w:r w:rsidR="00336C16">
        <w:rPr>
          <w:rStyle w:val="Ppogrubienie"/>
        </w:rPr>
        <w:t>6</w:t>
      </w:r>
      <w:r w:rsidR="009B7B4E" w:rsidRPr="00E124B3">
        <w:rPr>
          <w:rStyle w:val="Ppogrubienie"/>
        </w:rPr>
        <w:t>.</w:t>
      </w:r>
      <w:r>
        <w:rPr>
          <w:rStyle w:val="Ppogrubienie"/>
        </w:rPr>
        <w:t> </w:t>
      </w:r>
      <w:r w:rsidR="00BE3CE5">
        <w:t>1.</w:t>
      </w:r>
      <w:r>
        <w:t> </w:t>
      </w:r>
      <w:r w:rsidR="00BE3CE5">
        <w:t xml:space="preserve">Na </w:t>
      </w:r>
      <w:r w:rsidR="0012207E">
        <w:t>potrzeby</w:t>
      </w:r>
      <w:r w:rsidR="00883563">
        <w:t xml:space="preserve"> dokonania</w:t>
      </w:r>
      <w:r w:rsidR="0012207E">
        <w:t xml:space="preserve"> oceny wstępnej wniosku o wyznaczenie strefy geograficznej </w:t>
      </w:r>
      <w:r w:rsidR="0010582A">
        <w:t>za jedną strefę geograficzną</w:t>
      </w:r>
      <w:r>
        <w:t xml:space="preserve"> uznaje się obszar w kształcie:</w:t>
      </w:r>
    </w:p>
    <w:p w14:paraId="3D1D96C4" w14:textId="77777777" w:rsidR="0010582A" w:rsidRPr="0019515D" w:rsidRDefault="0010582A" w:rsidP="0019515D">
      <w:pPr>
        <w:pStyle w:val="PKTpunkt"/>
      </w:pPr>
      <w:r>
        <w:t>1)</w:t>
      </w:r>
      <w:r w:rsidR="0019515D">
        <w:tab/>
      </w:r>
      <w:r>
        <w:t xml:space="preserve">okręgu o </w:t>
      </w:r>
      <w:r w:rsidRPr="0019515D">
        <w:t>promieniu do 2500 m, zawierając</w:t>
      </w:r>
      <w:r w:rsidR="00D87422">
        <w:t>ego</w:t>
      </w:r>
      <w:r w:rsidRPr="0019515D">
        <w:t xml:space="preserve"> nie więcej niż jeden obiekt, w celu ochrony którego strefa geograficzna jest wyznaczana, zwany dalej </w:t>
      </w:r>
      <w:r w:rsidR="009B7B4E" w:rsidRPr="009B7B4E">
        <w:t>„</w:t>
      </w:r>
      <w:r w:rsidRPr="0019515D">
        <w:t>obiektem chronionym</w:t>
      </w:r>
      <w:r w:rsidR="009B7B4E" w:rsidRPr="009B7B4E">
        <w:t>”</w:t>
      </w:r>
      <w:r w:rsidR="00D87422">
        <w:t>, albo</w:t>
      </w:r>
    </w:p>
    <w:p w14:paraId="332DC162" w14:textId="77777777" w:rsidR="006E454A" w:rsidRPr="0019515D" w:rsidRDefault="0010582A" w:rsidP="006E454A">
      <w:pPr>
        <w:pStyle w:val="PKTpunkt"/>
      </w:pPr>
      <w:r w:rsidRPr="0019515D">
        <w:t>2)</w:t>
      </w:r>
      <w:r w:rsidR="0019515D">
        <w:tab/>
      </w:r>
      <w:r w:rsidRPr="0019515D">
        <w:t>wielokąt</w:t>
      </w:r>
      <w:r w:rsidR="004E6821" w:rsidRPr="0019515D">
        <w:t>a składającego się z nie więcej niż 8 boków, wyznaczonego przy wskazaniu nie więcej niż 8 współrzędnych, którego powierzchnia nie przekracza powierzchni okręgu o promieniu 2000 m, zawierając</w:t>
      </w:r>
      <w:r w:rsidR="00D87422">
        <w:t>ego</w:t>
      </w:r>
      <w:r w:rsidR="004E6821" w:rsidRPr="0019515D">
        <w:t xml:space="preserve"> nie więcej niż jeden obiekt chroni</w:t>
      </w:r>
      <w:r w:rsidR="006E454A">
        <w:t>ony</w:t>
      </w:r>
      <w:r w:rsidR="00D87422">
        <w:t>, albo</w:t>
      </w:r>
    </w:p>
    <w:p w14:paraId="7D60A0D1" w14:textId="77777777" w:rsidR="0010582A" w:rsidRDefault="004E6821" w:rsidP="0019515D">
      <w:pPr>
        <w:pStyle w:val="PKTpunkt"/>
      </w:pPr>
      <w:r w:rsidRPr="0019515D">
        <w:t>3)</w:t>
      </w:r>
      <w:r w:rsidR="0019515D">
        <w:tab/>
      </w:r>
      <w:r w:rsidRPr="0019515D">
        <w:t>wielokąta składającego się z</w:t>
      </w:r>
      <w:r>
        <w:t xml:space="preserve"> nie więcej niż 16 boków, wyznaczonego przy wskazaniu nie więcej niż 16 współrzędnych geograficznych, którego szerokość nie przekracza 500 m, </w:t>
      </w:r>
      <w:r w:rsidR="0025600A">
        <w:t>a</w:t>
      </w:r>
      <w:r>
        <w:t xml:space="preserve"> </w:t>
      </w:r>
      <w:r w:rsidR="00C85665">
        <w:t xml:space="preserve">długość </w:t>
      </w:r>
      <w:r>
        <w:t>15 000 m, zawierając</w:t>
      </w:r>
      <w:r w:rsidR="00D87422">
        <w:t>ego</w:t>
      </w:r>
      <w:r>
        <w:t xml:space="preserve"> nie wię</w:t>
      </w:r>
      <w:r w:rsidR="001B374B">
        <w:t>cej niż jeden obiekt chroniony.</w:t>
      </w:r>
    </w:p>
    <w:p w14:paraId="7F06786B" w14:textId="77777777" w:rsidR="00591A2D" w:rsidRDefault="007A23D6" w:rsidP="00591A2D">
      <w:pPr>
        <w:pStyle w:val="USTustnpkodeksu"/>
      </w:pPr>
      <w:r>
        <w:t>2</w:t>
      </w:r>
      <w:r w:rsidR="001B374B">
        <w:t>. </w:t>
      </w:r>
      <w:r w:rsidR="009B7B4E">
        <w:t>Przepisu ust. 1 nie stosuje się</w:t>
      </w:r>
      <w:r w:rsidR="00591A2D">
        <w:t>:</w:t>
      </w:r>
    </w:p>
    <w:p w14:paraId="3646A2DF" w14:textId="77777777" w:rsidR="004A5A70" w:rsidRDefault="00591A2D" w:rsidP="00D330AD">
      <w:pPr>
        <w:pStyle w:val="PKTpunkt"/>
      </w:pPr>
      <w:r>
        <w:t>1)</w:t>
      </w:r>
      <w:r>
        <w:tab/>
      </w:r>
      <w:r w:rsidR="009B7B4E">
        <w:t xml:space="preserve">do strefy </w:t>
      </w:r>
      <w:r w:rsidR="00A1281B">
        <w:t xml:space="preserve">geograficznej </w:t>
      </w:r>
      <w:r w:rsidR="009B7B4E">
        <w:t>DRA-U</w:t>
      </w:r>
      <w:r w:rsidR="00F97CD0">
        <w:t xml:space="preserve"> oraz DRA-T</w:t>
      </w:r>
      <w:r w:rsidR="004A5A70">
        <w:t>;</w:t>
      </w:r>
    </w:p>
    <w:p w14:paraId="4EE3248B" w14:textId="1BF4F452" w:rsidR="009B7B4E" w:rsidRDefault="004A5A70" w:rsidP="00D330AD">
      <w:pPr>
        <w:pStyle w:val="PKTpunkt"/>
      </w:pPr>
      <w:r>
        <w:t>2)</w:t>
      </w:r>
      <w:r>
        <w:tab/>
        <w:t>w</w:t>
      </w:r>
      <w:r w:rsidR="00591A2D">
        <w:t xml:space="preserve"> przypadku gdy strefa geograficzna jest wyznaczana </w:t>
      </w:r>
      <w:r w:rsidR="00505B2B">
        <w:t>na wniosek podmiotu</w:t>
      </w:r>
      <w:r w:rsidR="00505B2B" w:rsidRPr="00505B2B">
        <w:t xml:space="preserve"> uprawnionego, o którym mowa w </w:t>
      </w:r>
      <w:r w:rsidR="00336C16">
        <w:t xml:space="preserve">art. 156h ust. </w:t>
      </w:r>
      <w:r w:rsidR="006626FC">
        <w:t>1</w:t>
      </w:r>
      <w:r w:rsidR="00336C16">
        <w:t xml:space="preserve"> pkt 1</w:t>
      </w:r>
      <w:r w:rsidR="0088170B">
        <w:t xml:space="preserve"> albo 2</w:t>
      </w:r>
      <w:r w:rsidR="00505B2B">
        <w:t xml:space="preserve">, </w:t>
      </w:r>
      <w:r w:rsidR="00591A2D">
        <w:t xml:space="preserve">w oparciu o istniejące elementy struktury przestrzeni powietrznej ustanowione </w:t>
      </w:r>
      <w:r w:rsidR="00077B26">
        <w:t>zgodnie z przepisami wydanymi na podstawie</w:t>
      </w:r>
      <w:r w:rsidR="00D330AD" w:rsidRPr="00D330AD">
        <w:t xml:space="preserve"> art. 121 ust. 5 pkt 1 i 2 ustawy</w:t>
      </w:r>
      <w:r w:rsidR="00D330AD">
        <w:rPr>
          <w:rStyle w:val="Odwoaniedokomentarza"/>
        </w:rPr>
        <w:t>.</w:t>
      </w:r>
    </w:p>
    <w:p w14:paraId="192D04AB" w14:textId="419EE585" w:rsidR="00591A2D" w:rsidRDefault="001B374B" w:rsidP="0088170B">
      <w:pPr>
        <w:pStyle w:val="USTustnpkodeksu"/>
      </w:pPr>
      <w:r>
        <w:lastRenderedPageBreak/>
        <w:t>3. </w:t>
      </w:r>
      <w:r w:rsidR="004E6821">
        <w:t xml:space="preserve">W </w:t>
      </w:r>
      <w:r w:rsidR="009B7B4E">
        <w:t>przypadku gdy</w:t>
      </w:r>
      <w:r w:rsidR="004E6821">
        <w:t xml:space="preserve"> wniosek o wyznaczenie strefy geograficznej</w:t>
      </w:r>
      <w:r w:rsidR="0088170B">
        <w:t xml:space="preserve"> </w:t>
      </w:r>
      <w:r w:rsidR="004E6821">
        <w:t xml:space="preserve">dotyczy obszaru o </w:t>
      </w:r>
      <w:r w:rsidR="00E06E7E">
        <w:t>znacznym stopniu skomplikowania</w:t>
      </w:r>
      <w:r w:rsidR="009B7B4E">
        <w:t>,</w:t>
      </w:r>
      <w:r w:rsidR="00E06E7E">
        <w:t xml:space="preserve"> wynikającego w szczególności z ukształtowania terenu lub znajdujących się na nim obiektów,</w:t>
      </w:r>
      <w:r w:rsidR="0099145B">
        <w:t xml:space="preserve"> </w:t>
      </w:r>
      <w:r w:rsidR="00B16B3B">
        <w:t>lub obszaru parku narodowego</w:t>
      </w:r>
      <w:r w:rsidR="0088170B">
        <w:t xml:space="preserve"> </w:t>
      </w:r>
      <w:r w:rsidR="00E06E7E">
        <w:t xml:space="preserve">Agencja może </w:t>
      </w:r>
      <w:r w:rsidR="009B7B4E">
        <w:t xml:space="preserve">uznać za jedną strefę geograficzną obszar </w:t>
      </w:r>
      <w:r w:rsidR="00E06E7E">
        <w:t>inn</w:t>
      </w:r>
      <w:r w:rsidR="009B7B4E">
        <w:t>y</w:t>
      </w:r>
      <w:r w:rsidR="00E06E7E">
        <w:t xml:space="preserve"> </w:t>
      </w:r>
      <w:r w:rsidR="009B7B4E">
        <w:t>niż określony w ust. 1</w:t>
      </w:r>
      <w:r w:rsidR="00E06E7E">
        <w:t>.</w:t>
      </w:r>
    </w:p>
    <w:p w14:paraId="6F18C38C" w14:textId="20EF492F" w:rsidR="00E35EF3" w:rsidRDefault="00BB2742" w:rsidP="00D87422">
      <w:pPr>
        <w:pStyle w:val="ARTartustawynprozporzdzenia"/>
        <w:keepNext/>
      </w:pPr>
      <w:r w:rsidRPr="00BA24DC">
        <w:rPr>
          <w:rStyle w:val="Ppogrubienie"/>
        </w:rPr>
        <w:t>§ </w:t>
      </w:r>
      <w:r w:rsidR="00603626">
        <w:rPr>
          <w:rStyle w:val="Ppogrubienie"/>
        </w:rPr>
        <w:t>7</w:t>
      </w:r>
      <w:r w:rsidR="001B374B">
        <w:t>. 1. </w:t>
      </w:r>
      <w:r w:rsidR="005241EB">
        <w:t>Agencja</w:t>
      </w:r>
      <w:r w:rsidR="00BA24DC" w:rsidRPr="00BA24DC">
        <w:t xml:space="preserve"> wyznaczając stref</w:t>
      </w:r>
      <w:r w:rsidR="0094558C">
        <w:t>ę</w:t>
      </w:r>
      <w:r w:rsidR="00BA24DC" w:rsidRPr="00BA24DC">
        <w:t xml:space="preserve"> geograficzn</w:t>
      </w:r>
      <w:r w:rsidR="0094558C">
        <w:t>ą</w:t>
      </w:r>
      <w:r w:rsidR="00E35EF3">
        <w:t>:</w:t>
      </w:r>
    </w:p>
    <w:p w14:paraId="2412D13D" w14:textId="77777777" w:rsidR="00DE0BAB" w:rsidRDefault="00E35EF3" w:rsidP="00E35EF3">
      <w:pPr>
        <w:pStyle w:val="PKTpunkt"/>
      </w:pPr>
      <w:r>
        <w:t>1)</w:t>
      </w:r>
      <w:r>
        <w:tab/>
      </w:r>
      <w:r w:rsidR="00F50CAD">
        <w:t>bierze pod uwagę</w:t>
      </w:r>
      <w:r w:rsidR="00DE0BAB" w:rsidRPr="00DE0BAB">
        <w:t xml:space="preserve"> opublikowane elementy struktury przestrzeni powietrznej ustanowione zgodnie z przepisami wydanymi na podstawie art. 121 ust. 5 pkt 1 i 2 ustawy oraz zakazy i ograniczenia lotów określone w przepisach wydanych na podstawie art. 119 ust. 4 pkt 1 i 2 ustawy lub wprowadzone na ich podstawie</w:t>
      </w:r>
      <w:r w:rsidR="00DE0BAB">
        <w:t>;</w:t>
      </w:r>
    </w:p>
    <w:p w14:paraId="00F1E2E9" w14:textId="77777777" w:rsidR="00E35EF3" w:rsidRDefault="00DE0BAB" w:rsidP="00E124B3">
      <w:pPr>
        <w:pStyle w:val="PKTpunkt"/>
      </w:pPr>
      <w:r>
        <w:t>2)</w:t>
      </w:r>
      <w:r>
        <w:tab/>
      </w:r>
      <w:r w:rsidR="00E35EF3">
        <w:t>nie jest związana wnioskiem</w:t>
      </w:r>
      <w:r w:rsidR="005479E0">
        <w:t xml:space="preserve"> podmiotu uprawnionego</w:t>
      </w:r>
      <w:r w:rsidR="00E35EF3">
        <w:t xml:space="preserve"> </w:t>
      </w:r>
      <w:r w:rsidR="00E35EF3" w:rsidRPr="00E35EF3">
        <w:t>o wyznaczenie strefy geograficznej w zakresie określenia jej rodzaju oraz warunków wykonywania operacji z użyciem systemu bezzałogowego statku powietrznego</w:t>
      </w:r>
      <w:r w:rsidR="00E35EF3">
        <w:t>;</w:t>
      </w:r>
    </w:p>
    <w:p w14:paraId="5A9ABEA3" w14:textId="77777777" w:rsidR="00E35EF3" w:rsidRDefault="00BC1700" w:rsidP="00E124B3">
      <w:pPr>
        <w:pStyle w:val="PKTpunkt"/>
      </w:pPr>
      <w:r>
        <w:t>3</w:t>
      </w:r>
      <w:r w:rsidR="00E35EF3">
        <w:t>)</w:t>
      </w:r>
      <w:r w:rsidR="00E35EF3">
        <w:tab/>
      </w:r>
      <w:r w:rsidR="00E35EF3" w:rsidRPr="00E35EF3">
        <w:t>uwzględnia konieczność zachowania proporcjonalności wdrażanych rozwiązań do zidentyfikowanych zagrożeń</w:t>
      </w:r>
      <w:r w:rsidR="00E35EF3">
        <w:t>;</w:t>
      </w:r>
    </w:p>
    <w:p w14:paraId="7D9063AE" w14:textId="77777777" w:rsidR="00BA24DC" w:rsidRPr="00BA24DC" w:rsidRDefault="00BC1700" w:rsidP="00E124B3">
      <w:pPr>
        <w:pStyle w:val="PKTpunkt"/>
      </w:pPr>
      <w:r>
        <w:t>4</w:t>
      </w:r>
      <w:r w:rsidR="00E35EF3">
        <w:t>)</w:t>
      </w:r>
      <w:r w:rsidR="00E35EF3">
        <w:tab/>
      </w:r>
      <w:r w:rsidR="00BA24DC" w:rsidRPr="00BA24DC">
        <w:t>określa:</w:t>
      </w:r>
    </w:p>
    <w:p w14:paraId="274D082B" w14:textId="77777777" w:rsidR="0074591E" w:rsidRDefault="00E35EF3" w:rsidP="00E35EF3">
      <w:pPr>
        <w:pStyle w:val="LITlitera"/>
      </w:pPr>
      <w:r>
        <w:t>a</w:t>
      </w:r>
      <w:r w:rsidR="00BA24DC" w:rsidRPr="00BA24DC">
        <w:t>)</w:t>
      </w:r>
      <w:r w:rsidR="00BA24DC">
        <w:tab/>
      </w:r>
      <w:r w:rsidR="00F43E47">
        <w:t>rodzaj strefy geograficznej</w:t>
      </w:r>
      <w:r w:rsidR="0074591E">
        <w:t>,</w:t>
      </w:r>
    </w:p>
    <w:p w14:paraId="513F1A22" w14:textId="4190E0F3" w:rsidR="00F43E47" w:rsidRDefault="0074591E" w:rsidP="00821C49">
      <w:pPr>
        <w:pStyle w:val="LITlitera"/>
      </w:pPr>
      <w:r>
        <w:t>b)</w:t>
      </w:r>
      <w:r>
        <w:tab/>
      </w:r>
      <w:r w:rsidR="00F43E47">
        <w:t>okres obowiązywania</w:t>
      </w:r>
      <w:r>
        <w:t xml:space="preserve"> strefy geograficznej, który w przypadku</w:t>
      </w:r>
      <w:r w:rsidR="00077B26">
        <w:t xml:space="preserve"> </w:t>
      </w:r>
      <w:r>
        <w:t xml:space="preserve">DRA-P, DRA-R, DRA-T </w:t>
      </w:r>
      <w:r w:rsidR="00077B26">
        <w:t>i</w:t>
      </w:r>
      <w:r>
        <w:t xml:space="preserve"> DRA-I nie może być dłuższy niż 3 miesiące,</w:t>
      </w:r>
    </w:p>
    <w:p w14:paraId="7CDA733F" w14:textId="77777777" w:rsidR="00BA24DC" w:rsidRPr="00BA24DC" w:rsidRDefault="00406399" w:rsidP="00E124B3">
      <w:pPr>
        <w:pStyle w:val="LITlitera"/>
      </w:pPr>
      <w:r>
        <w:t>c</w:t>
      </w:r>
      <w:r w:rsidR="00F43E47">
        <w:t>)</w:t>
      </w:r>
      <w:r w:rsidR="00F43E47">
        <w:tab/>
      </w:r>
      <w:r w:rsidR="00BA24DC" w:rsidRPr="00BA24DC">
        <w:t>granice pionowe i poziome strefy geograficznej</w:t>
      </w:r>
      <w:r w:rsidR="00E77441">
        <w:t>,</w:t>
      </w:r>
      <w:r w:rsidR="00BA24DC" w:rsidRPr="00BA24DC">
        <w:t xml:space="preserve"> uwzględniając strukturę przestrzeni powietrznej w danym obszarze</w:t>
      </w:r>
      <w:r w:rsidR="0074591E">
        <w:t>,</w:t>
      </w:r>
    </w:p>
    <w:p w14:paraId="6384437A" w14:textId="77777777" w:rsidR="005D6599" w:rsidRDefault="005D7794" w:rsidP="00E124B3">
      <w:pPr>
        <w:pStyle w:val="LITlitera"/>
      </w:pPr>
      <w:r>
        <w:t>d</w:t>
      </w:r>
      <w:r w:rsidR="00E35EF3">
        <w:t>)</w:t>
      </w:r>
      <w:r w:rsidR="00BA24DC">
        <w:tab/>
      </w:r>
      <w:r w:rsidR="00BA24DC" w:rsidRPr="00BA24DC">
        <w:t xml:space="preserve">warunki </w:t>
      </w:r>
      <w:r w:rsidR="004461E1">
        <w:t>w</w:t>
      </w:r>
      <w:r w:rsidR="004461E1" w:rsidRPr="004461E1">
        <w:t xml:space="preserve">ykonywania operacji </w:t>
      </w:r>
      <w:bookmarkStart w:id="9" w:name="_Hlk40026111"/>
      <w:r w:rsidR="00C449EA">
        <w:t>z</w:t>
      </w:r>
      <w:r w:rsidR="00C449EA" w:rsidRPr="004461E1">
        <w:t xml:space="preserve"> </w:t>
      </w:r>
      <w:r w:rsidR="004461E1" w:rsidRPr="004461E1">
        <w:t>użyci</w:t>
      </w:r>
      <w:r w:rsidR="00C449EA">
        <w:t>em</w:t>
      </w:r>
      <w:r w:rsidR="004461E1" w:rsidRPr="004461E1">
        <w:t xml:space="preserve"> </w:t>
      </w:r>
      <w:r w:rsidR="003A3E54">
        <w:t xml:space="preserve">systemu </w:t>
      </w:r>
      <w:r w:rsidR="004461E1" w:rsidRPr="004461E1">
        <w:t xml:space="preserve">bezzałogowego </w:t>
      </w:r>
      <w:r w:rsidR="005241EB">
        <w:t>statku</w:t>
      </w:r>
      <w:r w:rsidR="005241EB" w:rsidRPr="004461E1">
        <w:t xml:space="preserve"> </w:t>
      </w:r>
      <w:r w:rsidR="004461E1" w:rsidRPr="004461E1">
        <w:t xml:space="preserve">powietrznego </w:t>
      </w:r>
      <w:bookmarkEnd w:id="9"/>
      <w:r w:rsidR="00BA24DC" w:rsidRPr="00BA24DC">
        <w:t>w danej strefie geograficznej, z uwzględnieniem art. 15 ust. 1 pkt a–d rozporządzenia nr 2019/947/UE</w:t>
      </w:r>
      <w:r w:rsidR="00075CB1">
        <w:t>.</w:t>
      </w:r>
    </w:p>
    <w:p w14:paraId="641D8871" w14:textId="77777777" w:rsidR="00BA24DC" w:rsidRPr="00BA24DC" w:rsidRDefault="00E35EF3" w:rsidP="00F82740">
      <w:pPr>
        <w:pStyle w:val="USTustnpkodeksu"/>
      </w:pPr>
      <w:r>
        <w:t>2</w:t>
      </w:r>
      <w:r w:rsidR="00BA24DC" w:rsidRPr="00BA24DC">
        <w:t>.</w:t>
      </w:r>
      <w:r w:rsidR="00BA24DC">
        <w:t> </w:t>
      </w:r>
      <w:r w:rsidR="007263FF">
        <w:t>W</w:t>
      </w:r>
      <w:r w:rsidR="00E65E6C">
        <w:t xml:space="preserve">arunki wykonywania operacji </w:t>
      </w:r>
      <w:r w:rsidR="00C449EA">
        <w:t>z</w:t>
      </w:r>
      <w:r w:rsidR="00C449EA" w:rsidRPr="004461E1">
        <w:t xml:space="preserve"> </w:t>
      </w:r>
      <w:r w:rsidR="00AA2A42" w:rsidRPr="004461E1">
        <w:t>użyci</w:t>
      </w:r>
      <w:r w:rsidR="00C449EA">
        <w:t>em</w:t>
      </w:r>
      <w:r w:rsidR="00AA2A42" w:rsidRPr="004461E1">
        <w:t xml:space="preserve"> </w:t>
      </w:r>
      <w:r w:rsidR="00405732">
        <w:t xml:space="preserve">systemu </w:t>
      </w:r>
      <w:r w:rsidR="00AA2A42" w:rsidRPr="004461E1">
        <w:t xml:space="preserve">bezzałogowego </w:t>
      </w:r>
      <w:r w:rsidR="00405732">
        <w:t>statku</w:t>
      </w:r>
      <w:r w:rsidR="00405732" w:rsidRPr="004461E1">
        <w:t xml:space="preserve"> </w:t>
      </w:r>
      <w:r w:rsidR="00AA2A42" w:rsidRPr="004461E1">
        <w:t xml:space="preserve">powietrznego </w:t>
      </w:r>
      <w:r w:rsidR="00AA2A42">
        <w:t>w danej strefie geograficznej</w:t>
      </w:r>
      <w:r w:rsidR="00E65E6C">
        <w:t xml:space="preserve"> </w:t>
      </w:r>
      <w:r w:rsidR="00DC1A95">
        <w:t>mogą obejmować w szczególności:</w:t>
      </w:r>
    </w:p>
    <w:p w14:paraId="5C08512F" w14:textId="77777777" w:rsidR="00BA24DC" w:rsidRPr="00BA24DC" w:rsidRDefault="00BA24DC" w:rsidP="00BA24DC">
      <w:pPr>
        <w:pStyle w:val="PKTpunkt"/>
      </w:pPr>
      <w:r w:rsidRPr="00BA24DC">
        <w:t>1)</w:t>
      </w:r>
      <w:r>
        <w:tab/>
      </w:r>
      <w:r w:rsidR="003540F8" w:rsidRPr="00BA24DC">
        <w:t>m</w:t>
      </w:r>
      <w:r w:rsidR="003540F8">
        <w:t>inimalną</w:t>
      </w:r>
      <w:r w:rsidR="00DC1A95">
        <w:t xml:space="preserve"> lub maksymalną</w:t>
      </w:r>
      <w:r w:rsidR="003540F8">
        <w:t xml:space="preserve"> </w:t>
      </w:r>
      <w:r w:rsidRPr="00BA24DC">
        <w:t>wysokość lotu</w:t>
      </w:r>
      <w:r w:rsidR="00BF1536">
        <w:t>;</w:t>
      </w:r>
    </w:p>
    <w:p w14:paraId="461F54C3" w14:textId="77777777" w:rsidR="00BA24DC" w:rsidRPr="00BA24DC" w:rsidRDefault="00BA24DC" w:rsidP="00BA24DC">
      <w:pPr>
        <w:pStyle w:val="PKTpunkt"/>
      </w:pPr>
      <w:r w:rsidRPr="00BA24DC">
        <w:t>2)</w:t>
      </w:r>
      <w:r>
        <w:tab/>
      </w:r>
      <w:r w:rsidRPr="00BA24DC">
        <w:t>maksymalną masę startową bezzałogowego statku powietrznego</w:t>
      </w:r>
      <w:r w:rsidR="00BF1536">
        <w:t>;</w:t>
      </w:r>
    </w:p>
    <w:p w14:paraId="3B038AC4" w14:textId="77777777" w:rsidR="00BA24DC" w:rsidRPr="00BA24DC" w:rsidRDefault="00BA24DC" w:rsidP="00BA24DC">
      <w:pPr>
        <w:pStyle w:val="PKTpunkt"/>
      </w:pPr>
      <w:r w:rsidRPr="00BA24DC">
        <w:t>3)</w:t>
      </w:r>
      <w:r>
        <w:tab/>
      </w:r>
      <w:r w:rsidRPr="00BA24DC">
        <w:t xml:space="preserve">rodzaj kwalifikacji pilota bezzałogowego statku powietrznego </w:t>
      </w:r>
      <w:r w:rsidR="003A3E54">
        <w:t xml:space="preserve">wymaganych do </w:t>
      </w:r>
      <w:r w:rsidRPr="00BA24DC">
        <w:t>wykon</w:t>
      </w:r>
      <w:r w:rsidR="003A3E54">
        <w:t>ywania</w:t>
      </w:r>
      <w:r w:rsidRPr="00BA24DC">
        <w:t xml:space="preserve"> operacj</w:t>
      </w:r>
      <w:r w:rsidR="003A3E54">
        <w:t>i</w:t>
      </w:r>
      <w:r w:rsidRPr="00BA24DC">
        <w:t xml:space="preserve"> w danej strefie geograficznej</w:t>
      </w:r>
      <w:r w:rsidR="00BF1536">
        <w:t>;</w:t>
      </w:r>
    </w:p>
    <w:p w14:paraId="11EF5773" w14:textId="77777777" w:rsidR="00BA24DC" w:rsidRPr="00BA24DC" w:rsidRDefault="00BA24DC" w:rsidP="00BA24DC">
      <w:pPr>
        <w:pStyle w:val="PKTpunkt"/>
      </w:pPr>
      <w:r w:rsidRPr="00BA24DC">
        <w:t>4)</w:t>
      </w:r>
      <w:r>
        <w:tab/>
      </w:r>
      <w:r w:rsidRPr="00BA24DC">
        <w:t>kategorię operacji, o których mowa w art. 3 rozporządzenia nr 2019/947/UE, dopuszczonych do wykonywania w danej strefie geograficznej</w:t>
      </w:r>
      <w:r w:rsidR="00BF1536">
        <w:t>;</w:t>
      </w:r>
    </w:p>
    <w:p w14:paraId="25FA8CE1" w14:textId="77777777" w:rsidR="00BA24DC" w:rsidRPr="00BA24DC" w:rsidRDefault="00BA24DC" w:rsidP="00BA24DC">
      <w:pPr>
        <w:pStyle w:val="PKTpunkt"/>
      </w:pPr>
      <w:r w:rsidRPr="00BA24DC">
        <w:t>5)</w:t>
      </w:r>
      <w:r>
        <w:tab/>
      </w:r>
      <w:r w:rsidRPr="00BA24DC">
        <w:t xml:space="preserve">klasę </w:t>
      </w:r>
      <w:r w:rsidR="007263FF">
        <w:t>systemu</w:t>
      </w:r>
      <w:r w:rsidR="003A3E54">
        <w:t xml:space="preserve"> </w:t>
      </w:r>
      <w:r w:rsidRPr="00BA24DC">
        <w:t xml:space="preserve">bezzałogowego </w:t>
      </w:r>
      <w:r w:rsidR="003A3E54">
        <w:t>statku</w:t>
      </w:r>
      <w:r w:rsidR="003A3E54" w:rsidRPr="00BA24DC">
        <w:t xml:space="preserve"> </w:t>
      </w:r>
      <w:r w:rsidRPr="00BA24DC">
        <w:t xml:space="preserve">powietrznego, określoną zgodnie z przepisami rozporządzenia delegowanego Komisji (UE) 2019/945 z dnia 12 marca 2019 r. w sprawie </w:t>
      </w:r>
      <w:r w:rsidRPr="00BA24DC">
        <w:lastRenderedPageBreak/>
        <w:t>bezzałogowych systemów powietrznych oraz operatorów bezzałogowych systemów powietrznych z państw trzecich (Dz. Urz. UE L 152 z 11.06.2019, str. 1</w:t>
      </w:r>
      <w:r w:rsidR="001F5F79">
        <w:t>, z późn. zm.</w:t>
      </w:r>
      <w:r w:rsidR="00BF1536">
        <w:rPr>
          <w:rStyle w:val="Odwoanieprzypisudolnego"/>
        </w:rPr>
        <w:footnoteReference w:id="4"/>
      </w:r>
      <w:r w:rsidR="00BF1536">
        <w:rPr>
          <w:rStyle w:val="IGindeksgrny"/>
        </w:rPr>
        <w:t>)</w:t>
      </w:r>
      <w:r w:rsidRPr="00BA24DC">
        <w:t>) dopuszczonego do wykonywania operacji w danej strefie geograficznej</w:t>
      </w:r>
      <w:r w:rsidR="00BF1536">
        <w:t>;</w:t>
      </w:r>
    </w:p>
    <w:p w14:paraId="17FB4CC3" w14:textId="77777777" w:rsidR="00161EA9" w:rsidRDefault="00BA24DC" w:rsidP="00BA24DC">
      <w:pPr>
        <w:pStyle w:val="PKTpunkt"/>
      </w:pPr>
      <w:r w:rsidRPr="00BA24DC">
        <w:t>6)</w:t>
      </w:r>
      <w:r>
        <w:tab/>
      </w:r>
      <w:r w:rsidRPr="00BA24DC">
        <w:t xml:space="preserve">dodatkowe wyposażenie </w:t>
      </w:r>
      <w:r w:rsidR="00786ACB" w:rsidRPr="00BA24DC">
        <w:t xml:space="preserve">systemu </w:t>
      </w:r>
      <w:r w:rsidRPr="00BA24DC">
        <w:t xml:space="preserve">bezzałogowego </w:t>
      </w:r>
      <w:r w:rsidR="00786ACB">
        <w:t>statku</w:t>
      </w:r>
      <w:r w:rsidR="003C088F">
        <w:t xml:space="preserve"> </w:t>
      </w:r>
      <w:r w:rsidRPr="00BA24DC">
        <w:t>powietrznego, jeżeli ma ono wpływ na zminimalizowanie ryzyka wykonywanych operacji.</w:t>
      </w:r>
    </w:p>
    <w:p w14:paraId="1EBC9116" w14:textId="206E544E" w:rsidR="00781CEB" w:rsidRPr="00781CEB" w:rsidRDefault="001B374B" w:rsidP="00E124B3">
      <w:pPr>
        <w:pStyle w:val="ARTartustawynprozporzdzenia"/>
      </w:pPr>
      <w:bookmarkStart w:id="12" w:name="_Hlk60861680"/>
      <w:r>
        <w:rPr>
          <w:rStyle w:val="Ppogrubienie"/>
        </w:rPr>
        <w:t>§ </w:t>
      </w:r>
      <w:r w:rsidR="00603626">
        <w:rPr>
          <w:rStyle w:val="Ppogrubienie"/>
        </w:rPr>
        <w:t>8</w:t>
      </w:r>
      <w:r w:rsidR="00781CEB" w:rsidRPr="00E124B3">
        <w:rPr>
          <w:rStyle w:val="Ppogrubienie"/>
        </w:rPr>
        <w:t>.</w:t>
      </w:r>
      <w:bookmarkEnd w:id="12"/>
      <w:r>
        <w:rPr>
          <w:rStyle w:val="Ppogrubienie"/>
        </w:rPr>
        <w:t> </w:t>
      </w:r>
      <w:r w:rsidR="00781CEB" w:rsidRPr="00781CEB">
        <w:t>1</w:t>
      </w:r>
      <w:r w:rsidR="00F82740">
        <w:t>.</w:t>
      </w:r>
      <w:r>
        <w:t> </w:t>
      </w:r>
      <w:r w:rsidR="00781CEB" w:rsidRPr="00781CEB">
        <w:t>Agencja może konsultować z zarządzającym obiekt</w:t>
      </w:r>
      <w:r w:rsidR="00843B83">
        <w:t>em</w:t>
      </w:r>
      <w:r w:rsidR="00781CEB" w:rsidRPr="00781CEB">
        <w:t xml:space="preserve"> lub rejon</w:t>
      </w:r>
      <w:r w:rsidR="00843B83">
        <w:t>em</w:t>
      </w:r>
      <w:r w:rsidR="00781CEB" w:rsidRPr="00781CEB">
        <w:t xml:space="preserve"> chronionym element</w:t>
      </w:r>
      <w:r w:rsidR="00843B83">
        <w:t>em</w:t>
      </w:r>
      <w:r w:rsidR="00781CEB" w:rsidRPr="00781CEB">
        <w:t xml:space="preserve"> struktur</w:t>
      </w:r>
      <w:r w:rsidR="003074F6">
        <w:t>y</w:t>
      </w:r>
      <w:r w:rsidR="00781CEB" w:rsidRPr="00781CEB">
        <w:t xml:space="preserve"> przestrzeni powietrznej </w:t>
      </w:r>
      <w:r w:rsidR="00305DC3" w:rsidRPr="00305DC3">
        <w:t xml:space="preserve">ustanowionym </w:t>
      </w:r>
      <w:r w:rsidR="00377F9F">
        <w:t>zgodnie z przepisami</w:t>
      </w:r>
      <w:r w:rsidR="00305DC3" w:rsidRPr="00305DC3">
        <w:t xml:space="preserve">, o których mowa w § </w:t>
      </w:r>
      <w:r w:rsidR="00603626">
        <w:t>7</w:t>
      </w:r>
      <w:r w:rsidR="00305DC3" w:rsidRPr="00305DC3">
        <w:t xml:space="preserve"> ust. 1 pkt 1</w:t>
      </w:r>
      <w:r w:rsidR="00802ABD">
        <w:t>,</w:t>
      </w:r>
      <w:r w:rsidR="00305DC3" w:rsidRPr="00305DC3">
        <w:t xml:space="preserve"> </w:t>
      </w:r>
      <w:r w:rsidR="00A242C4">
        <w:t>lub podmiotem</w:t>
      </w:r>
      <w:r w:rsidR="00802ABD">
        <w:t>,</w:t>
      </w:r>
      <w:r w:rsidR="00A242C4">
        <w:t xml:space="preserve"> na wniosek którego ustanowiono dany element</w:t>
      </w:r>
      <w:r w:rsidR="00802ABD">
        <w:t xml:space="preserve"> struktury przestrzeni powietrznej</w:t>
      </w:r>
      <w:r w:rsidR="00A242C4">
        <w:t xml:space="preserve">, </w:t>
      </w:r>
      <w:r w:rsidR="00781CEB" w:rsidRPr="00781CEB">
        <w:t>zagadnienia dotyczące wyznaczenia</w:t>
      </w:r>
      <w:r w:rsidR="00C5530B">
        <w:t xml:space="preserve"> strefy geograficznej w obszarze</w:t>
      </w:r>
      <w:r w:rsidR="00781CEB" w:rsidRPr="00781CEB">
        <w:t xml:space="preserve"> danego elementu struktury przestrzeni powietrznej.</w:t>
      </w:r>
    </w:p>
    <w:p w14:paraId="4316ADF7" w14:textId="6394C8BE" w:rsidR="00F82740" w:rsidRPr="00F82740" w:rsidRDefault="001B374B" w:rsidP="00E124B3">
      <w:pPr>
        <w:pStyle w:val="USTustnpkodeksu"/>
      </w:pPr>
      <w:r>
        <w:t>2. </w:t>
      </w:r>
      <w:r w:rsidR="00F82740" w:rsidRPr="00F82740">
        <w:t>Agencja, wyznaczając strefę geograficzną</w:t>
      </w:r>
      <w:r w:rsidR="00587316">
        <w:t xml:space="preserve"> w obszarze objętym elementem struktury przestrzeni powietrznej </w:t>
      </w:r>
      <w:r w:rsidR="00587316" w:rsidRPr="00587316">
        <w:t xml:space="preserve">ustanowionymi zgodnie z </w:t>
      </w:r>
      <w:r w:rsidR="00603626">
        <w:t>przepisami, o których mowa w § 7</w:t>
      </w:r>
      <w:r w:rsidR="00587316" w:rsidRPr="00587316">
        <w:t xml:space="preserve"> ust. 1 pkt 1</w:t>
      </w:r>
      <w:r w:rsidR="00F82740" w:rsidRPr="00F82740">
        <w:t>, informuje zarządzającego obiekt</w:t>
      </w:r>
      <w:r w:rsidR="00C57612">
        <w:t>em</w:t>
      </w:r>
      <w:r w:rsidR="00F82740" w:rsidRPr="00F82740">
        <w:t xml:space="preserve"> lub rejon</w:t>
      </w:r>
      <w:r w:rsidR="00C57612">
        <w:t>em</w:t>
      </w:r>
      <w:r w:rsidR="00F82740" w:rsidRPr="00F82740">
        <w:t xml:space="preserve"> chronionym </w:t>
      </w:r>
      <w:r w:rsidR="00843B83">
        <w:t>tym</w:t>
      </w:r>
      <w:r w:rsidR="00F82740" w:rsidRPr="00F82740">
        <w:t xml:space="preserve"> elementem struktury przestrzeni powietrznej ustanowionym </w:t>
      </w:r>
      <w:r w:rsidR="00377F9F">
        <w:t>zgodnie z</w:t>
      </w:r>
      <w:r w:rsidR="00F82740" w:rsidRPr="00F82740">
        <w:t xml:space="preserve"> przepis</w:t>
      </w:r>
      <w:r w:rsidR="00377F9F">
        <w:t>ami</w:t>
      </w:r>
      <w:r w:rsidR="00F82740" w:rsidRPr="00F82740">
        <w:t xml:space="preserve">, o których mowa w </w:t>
      </w:r>
      <w:r w:rsidR="00F50CAD">
        <w:t xml:space="preserve">§ </w:t>
      </w:r>
      <w:r w:rsidR="00603626">
        <w:t>7</w:t>
      </w:r>
      <w:r w:rsidR="00F50CAD">
        <w:t xml:space="preserve"> </w:t>
      </w:r>
      <w:r w:rsidR="00F82740" w:rsidRPr="00F82740">
        <w:t>ust. 1</w:t>
      </w:r>
      <w:r w:rsidR="00F50CAD">
        <w:t xml:space="preserve"> pkt 1</w:t>
      </w:r>
      <w:r w:rsidR="00F82740" w:rsidRPr="00F82740">
        <w:t>, o planowanych zmianach</w:t>
      </w:r>
      <w:r w:rsidR="00B91AB4">
        <w:t xml:space="preserve"> w tym elemencie struktury przestrzeni powietrznej</w:t>
      </w:r>
      <w:r w:rsidR="00F82740" w:rsidRPr="00F82740">
        <w:t xml:space="preserve"> </w:t>
      </w:r>
      <w:r w:rsidR="0000691E">
        <w:t>i</w:t>
      </w:r>
      <w:r w:rsidR="0000691E" w:rsidRPr="00F82740">
        <w:t xml:space="preserve"> </w:t>
      </w:r>
      <w:r w:rsidR="00F82740" w:rsidRPr="00F82740">
        <w:t>o wyznaczeniu stref</w:t>
      </w:r>
      <w:r w:rsidR="00695CAF">
        <w:t>y</w:t>
      </w:r>
      <w:r w:rsidR="00F82740" w:rsidRPr="00F82740">
        <w:t xml:space="preserve"> geograficzn</w:t>
      </w:r>
      <w:r w:rsidR="00695CAF">
        <w:t>ej</w:t>
      </w:r>
      <w:r w:rsidR="00F82740" w:rsidRPr="00F82740">
        <w:t>, oraz w razie potrzeby, określ</w:t>
      </w:r>
      <w:r w:rsidR="004E31FE">
        <w:t>a</w:t>
      </w:r>
      <w:r w:rsidR="00F82740" w:rsidRPr="00F82740">
        <w:t xml:space="preserve"> nowe granice</w:t>
      </w:r>
      <w:r w:rsidR="00273179">
        <w:t xml:space="preserve"> </w:t>
      </w:r>
      <w:r w:rsidR="00587316">
        <w:t>tego elementu struktury przestrzeni powietrznej</w:t>
      </w:r>
      <w:r w:rsidR="00F82740" w:rsidRPr="00F82740">
        <w:t xml:space="preserve"> lub warunki wykonywania operacji w ty</w:t>
      </w:r>
      <w:r w:rsidR="00B91AB4">
        <w:t>m</w:t>
      </w:r>
      <w:r w:rsidR="00F82740" w:rsidRPr="00F82740">
        <w:t xml:space="preserve"> elemen</w:t>
      </w:r>
      <w:r w:rsidR="00B91AB4">
        <w:t>cie</w:t>
      </w:r>
      <w:r w:rsidR="00F82740" w:rsidRPr="00F82740">
        <w:t xml:space="preserve"> struktury przestrzeni powietrznej.</w:t>
      </w:r>
    </w:p>
    <w:p w14:paraId="581CC6AE" w14:textId="7F1A8039" w:rsidR="00430BA3" w:rsidRDefault="001B374B" w:rsidP="0000691E">
      <w:pPr>
        <w:pStyle w:val="USTustnpkodeksu"/>
      </w:pPr>
      <w:r>
        <w:t>3. </w:t>
      </w:r>
      <w:r w:rsidR="00DE0BAB">
        <w:t>Agencja, d</w:t>
      </w:r>
      <w:r w:rsidR="00781CEB" w:rsidRPr="00781CEB">
        <w:t xml:space="preserve">okonując </w:t>
      </w:r>
      <w:r w:rsidR="00F50CAD">
        <w:t xml:space="preserve">zmian </w:t>
      </w:r>
      <w:r w:rsidR="00DE0BAB">
        <w:t xml:space="preserve">w </w:t>
      </w:r>
      <w:r w:rsidR="00781CEB" w:rsidRPr="00781CEB">
        <w:t>elemen</w:t>
      </w:r>
      <w:r w:rsidR="00843B83">
        <w:t>cie</w:t>
      </w:r>
      <w:r w:rsidR="00781CEB" w:rsidRPr="00781CEB">
        <w:t xml:space="preserve"> struktury przestrzeni powietrznej</w:t>
      </w:r>
      <w:r w:rsidR="00F50CAD">
        <w:t xml:space="preserve"> ustanowiony</w:t>
      </w:r>
      <w:r w:rsidR="00843B83">
        <w:t>m</w:t>
      </w:r>
      <w:r w:rsidR="00F50CAD">
        <w:t xml:space="preserve"> na podstawie przepisów, o których mowa w § </w:t>
      </w:r>
      <w:r w:rsidR="00603626">
        <w:t>7</w:t>
      </w:r>
      <w:r w:rsidR="00F50CAD">
        <w:t xml:space="preserve"> ust. 1 pkt 1</w:t>
      </w:r>
      <w:r w:rsidR="00695CAF">
        <w:t>,</w:t>
      </w:r>
      <w:r w:rsidR="00781CEB" w:rsidRPr="00781CEB">
        <w:t xml:space="preserve"> lub wprowadzając now</w:t>
      </w:r>
      <w:r w:rsidR="00843B83">
        <w:t>y</w:t>
      </w:r>
      <w:r w:rsidR="00781CEB" w:rsidRPr="00781CEB">
        <w:t xml:space="preserve"> element struktury przestrzeni powietrznej</w:t>
      </w:r>
      <w:r w:rsidR="00781CEB">
        <w:t>,</w:t>
      </w:r>
      <w:r w:rsidR="00781CEB" w:rsidRPr="00781CEB">
        <w:t xml:space="preserve"> </w:t>
      </w:r>
      <w:r w:rsidR="00DE0BAB" w:rsidRPr="00781CEB">
        <w:t>w określonej części przestrzeni powietrznej</w:t>
      </w:r>
      <w:r w:rsidR="00DE0BAB" w:rsidRPr="00DE0BAB">
        <w:t>,</w:t>
      </w:r>
      <w:r w:rsidR="00781CEB" w:rsidRPr="00781CEB">
        <w:t xml:space="preserve"> </w:t>
      </w:r>
      <w:r w:rsidR="00DE0BAB">
        <w:t>w której obowiązuje</w:t>
      </w:r>
      <w:r w:rsidR="00781CEB" w:rsidRPr="00781CEB">
        <w:t xml:space="preserve"> stref</w:t>
      </w:r>
      <w:r w:rsidR="00DE0BAB">
        <w:t>a</w:t>
      </w:r>
      <w:r w:rsidR="00781CEB" w:rsidRPr="00781CEB">
        <w:t xml:space="preserve"> geograficzn</w:t>
      </w:r>
      <w:r w:rsidR="00DE0BAB">
        <w:t>a</w:t>
      </w:r>
      <w:r w:rsidR="00781CEB" w:rsidRPr="00781CEB">
        <w:t xml:space="preserve">, </w:t>
      </w:r>
      <w:r w:rsidR="00DE0BAB">
        <w:t>informuje</w:t>
      </w:r>
      <w:r w:rsidR="00781CEB" w:rsidRPr="00781CEB">
        <w:t xml:space="preserve"> podmiot uprawniony</w:t>
      </w:r>
      <w:r w:rsidR="00DE0BAB">
        <w:t>, na wniosek którego strefa geograficzna została wyznaczona,</w:t>
      </w:r>
      <w:r w:rsidR="00781CEB" w:rsidRPr="00781CEB">
        <w:t xml:space="preserve"> o planowanych zmianach w stref</w:t>
      </w:r>
      <w:r w:rsidR="00DE0BAB">
        <w:t>ie</w:t>
      </w:r>
      <w:r w:rsidR="00781CEB" w:rsidRPr="00781CEB">
        <w:t xml:space="preserve"> geograficzn</w:t>
      </w:r>
      <w:r w:rsidR="00DE0BAB">
        <w:t>ej</w:t>
      </w:r>
      <w:r w:rsidR="00781CEB" w:rsidRPr="00781CEB">
        <w:t xml:space="preserve"> lub nowych warunkach wykonywania operacji z</w:t>
      </w:r>
      <w:r w:rsidR="004E31FE">
        <w:t xml:space="preserve"> </w:t>
      </w:r>
      <w:r w:rsidR="00781CEB" w:rsidRPr="00781CEB">
        <w:t>użyciem systemów bezzałogowych statków powietrznych</w:t>
      </w:r>
      <w:r w:rsidR="00DE0BAB">
        <w:t xml:space="preserve"> w tej strefie</w:t>
      </w:r>
      <w:r w:rsidR="003074F6">
        <w:t xml:space="preserve"> geograficznej</w:t>
      </w:r>
      <w:r w:rsidR="00781CEB" w:rsidRPr="00781CEB">
        <w:t>.</w:t>
      </w:r>
    </w:p>
    <w:p w14:paraId="62FED4E7" w14:textId="3F753DB8" w:rsidR="004666A8" w:rsidRDefault="001B374B">
      <w:pPr>
        <w:pStyle w:val="ARTartustawynprozporzdzenia"/>
        <w:rPr>
          <w:rStyle w:val="Ppogrubienie"/>
        </w:rPr>
      </w:pPr>
      <w:r>
        <w:rPr>
          <w:rStyle w:val="Ppogrubienie"/>
        </w:rPr>
        <w:t>§ </w:t>
      </w:r>
      <w:r w:rsidR="00603626">
        <w:rPr>
          <w:rStyle w:val="Ppogrubienie"/>
        </w:rPr>
        <w:t>9</w:t>
      </w:r>
      <w:r w:rsidR="00F82740" w:rsidRPr="00916A0C">
        <w:rPr>
          <w:rStyle w:val="Ppogrubienie"/>
        </w:rPr>
        <w:t>.</w:t>
      </w:r>
      <w:r>
        <w:rPr>
          <w:rStyle w:val="Ppogrubienie"/>
        </w:rPr>
        <w:t> </w:t>
      </w:r>
      <w:r w:rsidR="00F82740" w:rsidRPr="007056B5">
        <w:t>Do zmiany strefy geograficznej</w:t>
      </w:r>
      <w:r w:rsidR="00F50CAD">
        <w:t xml:space="preserve"> na wniosek podmiotu uprawnionego</w:t>
      </w:r>
      <w:r w:rsidR="00F82740" w:rsidRPr="007056B5">
        <w:t xml:space="preserve"> stosuje się przepisy</w:t>
      </w:r>
      <w:r w:rsidR="00F50CAD">
        <w:t xml:space="preserve"> § </w:t>
      </w:r>
      <w:r w:rsidR="00603626">
        <w:t>5</w:t>
      </w:r>
      <w:r w:rsidR="003074F6" w:rsidRPr="00BF1536">
        <w:t>–</w:t>
      </w:r>
      <w:r w:rsidR="00603626">
        <w:t>8</w:t>
      </w:r>
      <w:r w:rsidR="00CC3436">
        <w:t>, z zastrzeżeniem, że zmiana strefy geograficznej nie może prowadzić do przedłużenia okresu jej obowiązywania.</w:t>
      </w:r>
    </w:p>
    <w:p w14:paraId="653A9DFF" w14:textId="0B8B85F2" w:rsidR="00816270" w:rsidRDefault="001B374B">
      <w:pPr>
        <w:pStyle w:val="ARTartustawynprozporzdzenia"/>
      </w:pPr>
      <w:r>
        <w:rPr>
          <w:rStyle w:val="Ppogrubienie"/>
        </w:rPr>
        <w:lastRenderedPageBreak/>
        <w:t>§ </w:t>
      </w:r>
      <w:r w:rsidR="00F82740">
        <w:rPr>
          <w:rStyle w:val="Ppogrubienie"/>
        </w:rPr>
        <w:t>1</w:t>
      </w:r>
      <w:r w:rsidR="00603626">
        <w:rPr>
          <w:rStyle w:val="Ppogrubienie"/>
        </w:rPr>
        <w:t>0</w:t>
      </w:r>
      <w:r w:rsidR="007C4DD8" w:rsidRPr="006975D3">
        <w:rPr>
          <w:rStyle w:val="Ppogrubienie"/>
        </w:rPr>
        <w:t>.</w:t>
      </w:r>
      <w:r>
        <w:rPr>
          <w:rStyle w:val="Ppogrubienie"/>
        </w:rPr>
        <w:t> </w:t>
      </w:r>
      <w:r w:rsidR="00F77912">
        <w:t>1.</w:t>
      </w:r>
      <w:r>
        <w:t> </w:t>
      </w:r>
      <w:r w:rsidR="00CC3436">
        <w:t>Nie później niż na 7 dni p</w:t>
      </w:r>
      <w:r w:rsidR="00F77912">
        <w:t>rzed upływem okresu obowiązywania strefy geograficznej podmiot uprawniony</w:t>
      </w:r>
      <w:r w:rsidR="00816270">
        <w:t xml:space="preserve">, </w:t>
      </w:r>
      <w:r w:rsidR="00916A0C">
        <w:t>na wniosek którego strefa geograficzna została wyznaczona</w:t>
      </w:r>
      <w:r w:rsidR="00816270">
        <w:t>,</w:t>
      </w:r>
      <w:r w:rsidR="00F77912">
        <w:t xml:space="preserve"> może wystąpić do Agencji z wnioskiem o przedłużenie okresu</w:t>
      </w:r>
      <w:r w:rsidR="00816270">
        <w:t xml:space="preserve"> </w:t>
      </w:r>
      <w:r w:rsidR="00F77912">
        <w:t>obow</w:t>
      </w:r>
      <w:r>
        <w:t>iązywania strefy geograficznej.</w:t>
      </w:r>
    </w:p>
    <w:p w14:paraId="14CC380D" w14:textId="77777777" w:rsidR="00816270" w:rsidRDefault="001B374B" w:rsidP="007056B5">
      <w:pPr>
        <w:pStyle w:val="USTustnpkodeksu"/>
      </w:pPr>
      <w:r>
        <w:t>2. </w:t>
      </w:r>
      <w:r w:rsidR="00816270">
        <w:t xml:space="preserve">Po upływie okresu obowiązywania strefy geograficznej podmiot uprawniony, </w:t>
      </w:r>
      <w:r w:rsidR="00916A0C" w:rsidRPr="00916A0C">
        <w:t xml:space="preserve">na wniosek którego strefa geograficzna została wyznaczona, </w:t>
      </w:r>
      <w:r w:rsidR="00816270">
        <w:t>może wystąpić do Agencji z wnioskiem o ponowne wy</w:t>
      </w:r>
      <w:r>
        <w:t>znaczenie strefy geograficznej.</w:t>
      </w:r>
    </w:p>
    <w:p w14:paraId="798EFA39" w14:textId="7DB3BE92" w:rsidR="00816270" w:rsidRDefault="001B374B" w:rsidP="007056B5">
      <w:pPr>
        <w:pStyle w:val="USTustnpkodeksu"/>
      </w:pPr>
      <w:r>
        <w:t>3. </w:t>
      </w:r>
      <w:r w:rsidR="00816270">
        <w:t>Do przedłużania okresu obowiązywania stref</w:t>
      </w:r>
      <w:r w:rsidR="00695CAF">
        <w:t>y</w:t>
      </w:r>
      <w:r w:rsidR="00816270">
        <w:t xml:space="preserve"> geograficzn</w:t>
      </w:r>
      <w:r w:rsidR="00695CAF">
        <w:t>ej</w:t>
      </w:r>
      <w:r w:rsidR="00816270">
        <w:t xml:space="preserve"> oraz ponownego wyznaczania stref</w:t>
      </w:r>
      <w:r w:rsidR="00695CAF">
        <w:t>y</w:t>
      </w:r>
      <w:r w:rsidR="00816270">
        <w:t xml:space="preserve"> geograficzn</w:t>
      </w:r>
      <w:r w:rsidR="00695CAF">
        <w:t>ej</w:t>
      </w:r>
      <w:r w:rsidR="00816270">
        <w:t xml:space="preserve"> p</w:t>
      </w:r>
      <w:r w:rsidR="00816270" w:rsidRPr="00816270">
        <w:t xml:space="preserve">rzepisy § </w:t>
      </w:r>
      <w:r w:rsidR="00603626">
        <w:t>4</w:t>
      </w:r>
      <w:r w:rsidR="00816270" w:rsidRPr="00816270">
        <w:t xml:space="preserve"> ust. 1</w:t>
      </w:r>
      <w:r w:rsidR="00BC1700">
        <w:t>,</w:t>
      </w:r>
      <w:r w:rsidR="00EB2678">
        <w:t xml:space="preserve"> </w:t>
      </w:r>
      <w:r w:rsidR="00816270" w:rsidRPr="00816270">
        <w:t xml:space="preserve">ust. 2 pkt 1, </w:t>
      </w:r>
      <w:r w:rsidR="00FC7EFC">
        <w:t>4</w:t>
      </w:r>
      <w:r w:rsidR="00816270" w:rsidRPr="00816270">
        <w:t xml:space="preserve">, </w:t>
      </w:r>
      <w:r w:rsidR="00FC7EFC">
        <w:t>5</w:t>
      </w:r>
      <w:r w:rsidR="00816270" w:rsidRPr="00816270">
        <w:t>, ust. 4</w:t>
      </w:r>
      <w:r w:rsidR="00EB2678">
        <w:t xml:space="preserve"> i</w:t>
      </w:r>
      <w:r w:rsidR="00816270" w:rsidRPr="00816270">
        <w:t xml:space="preserve"> </w:t>
      </w:r>
      <w:r w:rsidR="00E36D01">
        <w:t>5</w:t>
      </w:r>
      <w:r w:rsidR="00816270" w:rsidRPr="00816270">
        <w:t xml:space="preserve">, </w:t>
      </w:r>
      <w:r w:rsidR="00816270">
        <w:t xml:space="preserve">§ </w:t>
      </w:r>
      <w:r w:rsidR="00603626">
        <w:t>6</w:t>
      </w:r>
      <w:r w:rsidR="003074F6" w:rsidRPr="003074F6">
        <w:t>–</w:t>
      </w:r>
      <w:r w:rsidR="00603626">
        <w:t>8</w:t>
      </w:r>
      <w:r w:rsidR="00816270" w:rsidRPr="00816270">
        <w:t xml:space="preserve"> stosuje się odpowiednio</w:t>
      </w:r>
      <w:r>
        <w:t>.</w:t>
      </w:r>
    </w:p>
    <w:p w14:paraId="7D22630D" w14:textId="77777777" w:rsidR="00A73D27" w:rsidRDefault="004C0FB0" w:rsidP="00010781">
      <w:pPr>
        <w:pStyle w:val="ARTartustawynprozporzdzenia"/>
      </w:pPr>
      <w:r w:rsidRPr="004C0FB0">
        <w:rPr>
          <w:rStyle w:val="Ppogrubienie"/>
        </w:rPr>
        <w:t>§</w:t>
      </w:r>
      <w:r w:rsidR="001B374B">
        <w:rPr>
          <w:rStyle w:val="Ppogrubienie"/>
        </w:rPr>
        <w:t> </w:t>
      </w:r>
      <w:r w:rsidRPr="004C0FB0">
        <w:rPr>
          <w:rStyle w:val="Ppogrubienie"/>
        </w:rPr>
        <w:t>1</w:t>
      </w:r>
      <w:r w:rsidR="003074F6">
        <w:rPr>
          <w:rStyle w:val="Ppogrubienie"/>
        </w:rPr>
        <w:t>2</w:t>
      </w:r>
      <w:r w:rsidRPr="004C0FB0">
        <w:rPr>
          <w:rStyle w:val="Ppogrubienie"/>
        </w:rPr>
        <w:t>.</w:t>
      </w:r>
      <w:r w:rsidR="001B374B">
        <w:rPr>
          <w:rStyle w:val="Ppogrubienie"/>
        </w:rPr>
        <w:t> </w:t>
      </w:r>
      <w:r w:rsidR="00A73D27">
        <w:t>1.</w:t>
      </w:r>
      <w:r w:rsidR="001B374B">
        <w:t> </w:t>
      </w:r>
      <w:r w:rsidR="00A73D27">
        <w:t>Opłatę za przeprowadzenie oceny wstępnej wniosku o wyznaczenie strefy geograficznej</w:t>
      </w:r>
      <w:r w:rsidR="00095B07">
        <w:t xml:space="preserve">, opłatę za </w:t>
      </w:r>
      <w:r w:rsidR="00095B07" w:rsidRPr="00095B07">
        <w:t>przedłużenie okresu obowiązywania stref</w:t>
      </w:r>
      <w:r w:rsidR="008C7BE0">
        <w:t>y</w:t>
      </w:r>
      <w:r w:rsidR="00095B07" w:rsidRPr="00095B07">
        <w:t xml:space="preserve"> geograficzn</w:t>
      </w:r>
      <w:r w:rsidR="008C7BE0">
        <w:t>ej</w:t>
      </w:r>
      <w:r w:rsidR="00095B07" w:rsidRPr="00095B07">
        <w:t xml:space="preserve"> </w:t>
      </w:r>
      <w:r w:rsidR="00095B07">
        <w:t>oraz</w:t>
      </w:r>
      <w:r w:rsidR="00095B07" w:rsidRPr="00095B07">
        <w:t xml:space="preserve"> </w:t>
      </w:r>
      <w:r w:rsidR="00095B07">
        <w:t xml:space="preserve">opłatę za </w:t>
      </w:r>
      <w:r w:rsidR="00095B07" w:rsidRPr="00095B07">
        <w:t>ponowne wyznaczenie stref</w:t>
      </w:r>
      <w:r w:rsidR="008C7BE0">
        <w:t>y</w:t>
      </w:r>
      <w:r w:rsidR="00095B07" w:rsidRPr="00095B07">
        <w:t xml:space="preserve"> geograficzn</w:t>
      </w:r>
      <w:r w:rsidR="008C7BE0">
        <w:t>ej</w:t>
      </w:r>
      <w:r w:rsidR="00A73D27">
        <w:t xml:space="preserve"> wnosi się przed złożeniem </w:t>
      </w:r>
      <w:r w:rsidR="008C7BE0">
        <w:t xml:space="preserve">danego </w:t>
      </w:r>
      <w:r w:rsidR="00A73D27">
        <w:t>wniosku.</w:t>
      </w:r>
    </w:p>
    <w:p w14:paraId="2B3EDDCA" w14:textId="77777777" w:rsidR="005C32A6" w:rsidRDefault="00095B07" w:rsidP="00EC394E">
      <w:pPr>
        <w:pStyle w:val="USTustnpkodeksu"/>
      </w:pPr>
      <w:r>
        <w:t>2</w:t>
      </w:r>
      <w:r w:rsidRPr="00095B07">
        <w:t>. Jeżeli w wyniku oceny wniosku o przedłużenie okresu obowiązywania stref</w:t>
      </w:r>
      <w:r w:rsidR="005C32A6">
        <w:t>y</w:t>
      </w:r>
      <w:r w:rsidRPr="00095B07">
        <w:t xml:space="preserve"> geograficzn</w:t>
      </w:r>
      <w:r w:rsidR="005C32A6">
        <w:t>ej</w:t>
      </w:r>
      <w:r w:rsidRPr="00095B07">
        <w:t xml:space="preserve"> albo wniosku o ponowne wyznaczenie stref</w:t>
      </w:r>
      <w:r w:rsidR="005C32A6">
        <w:t>y</w:t>
      </w:r>
      <w:r w:rsidRPr="00095B07">
        <w:t xml:space="preserve"> geograficzn</w:t>
      </w:r>
      <w:r w:rsidR="005C32A6">
        <w:t>ej</w:t>
      </w:r>
      <w:r w:rsidRPr="00095B07">
        <w:t xml:space="preserve"> Agencja ustali, że</w:t>
      </w:r>
      <w:r w:rsidR="005C32A6">
        <w:t>:</w:t>
      </w:r>
    </w:p>
    <w:p w14:paraId="25CF4FCC" w14:textId="77777777" w:rsidR="005C32A6" w:rsidRDefault="005C32A6" w:rsidP="00EC394E">
      <w:pPr>
        <w:pStyle w:val="PKTpunkt"/>
      </w:pPr>
      <w:r>
        <w:t>1)</w:t>
      </w:r>
      <w:r w:rsidR="00386349">
        <w:tab/>
      </w:r>
      <w:r w:rsidR="00095B07" w:rsidRPr="00095B07">
        <w:t>przedłu</w:t>
      </w:r>
      <w:r w:rsidR="008C7BE0">
        <w:t>żenie okresu obwiązywania stref</w:t>
      </w:r>
      <w:r>
        <w:t>y geograficznej</w:t>
      </w:r>
      <w:r w:rsidR="00095B07" w:rsidRPr="00095B07">
        <w:t xml:space="preserve"> albo ponowne wyznaczenie stref</w:t>
      </w:r>
      <w:r>
        <w:t>y geograficznej</w:t>
      </w:r>
      <w:r w:rsidR="00095B07" w:rsidRPr="00095B07">
        <w:t xml:space="preserve"> </w:t>
      </w:r>
      <w:r>
        <w:t xml:space="preserve">nie jest możliwe </w:t>
      </w:r>
      <w:r w:rsidR="00FD6703" w:rsidRPr="00FD6703">
        <w:t>–</w:t>
      </w:r>
      <w:r w:rsidR="00FD6703">
        <w:t xml:space="preserve"> Agencja </w:t>
      </w:r>
      <w:r w:rsidR="00FD6703" w:rsidRPr="00095B07">
        <w:t xml:space="preserve">zwraca opłatę </w:t>
      </w:r>
      <w:r w:rsidR="00FD6703" w:rsidRPr="00FD6703">
        <w:t>w całości</w:t>
      </w:r>
      <w:r w:rsidR="00FD6703">
        <w:t>;</w:t>
      </w:r>
    </w:p>
    <w:p w14:paraId="1D350E8B" w14:textId="77777777" w:rsidR="00095B07" w:rsidRDefault="005C32A6" w:rsidP="00EC394E">
      <w:pPr>
        <w:pStyle w:val="PKTpunkt"/>
      </w:pPr>
      <w:r>
        <w:t>2)</w:t>
      </w:r>
      <w:r w:rsidR="00386349">
        <w:tab/>
      </w:r>
      <w:r w:rsidRPr="005C32A6">
        <w:t>przedłużenie okresu obwiązywania stref</w:t>
      </w:r>
      <w:r>
        <w:t xml:space="preserve"> geograficznych</w:t>
      </w:r>
      <w:r w:rsidRPr="005C32A6">
        <w:t xml:space="preserve"> albo ponowne wyznaczenie stref</w:t>
      </w:r>
      <w:r w:rsidR="00386349">
        <w:t xml:space="preserve"> geograficznych</w:t>
      </w:r>
      <w:r w:rsidRPr="005C32A6">
        <w:t xml:space="preserve"> </w:t>
      </w:r>
      <w:r w:rsidR="008C7BE0" w:rsidRPr="008C7BE0">
        <w:t xml:space="preserve">jest możliwe </w:t>
      </w:r>
      <w:r w:rsidR="00095B07" w:rsidRPr="00095B07">
        <w:t xml:space="preserve">w liczbie </w:t>
      </w:r>
      <w:r w:rsidR="00386349">
        <w:t>mniejszej niż objęta wnioskie</w:t>
      </w:r>
      <w:r w:rsidR="00FD6703">
        <w:t xml:space="preserve">m </w:t>
      </w:r>
      <w:r w:rsidR="00386349" w:rsidRPr="00386349">
        <w:t>–</w:t>
      </w:r>
      <w:r w:rsidR="00386349">
        <w:t xml:space="preserve"> </w:t>
      </w:r>
      <w:r w:rsidR="00FD6703">
        <w:t>A</w:t>
      </w:r>
      <w:r w:rsidR="00FD6703" w:rsidRPr="00FD6703">
        <w:t xml:space="preserve">gencja </w:t>
      </w:r>
      <w:r w:rsidR="00ED3D15">
        <w:t xml:space="preserve">zwraca opłatę </w:t>
      </w:r>
      <w:r w:rsidR="00095B07" w:rsidRPr="00095B07">
        <w:t>w części nadpłaconej</w:t>
      </w:r>
      <w:r w:rsidR="00ED3D15">
        <w:t xml:space="preserve"> albo wzywa wnioskodawcę do uzupełnienia opłaty w wyznaczonym terminie</w:t>
      </w:r>
      <w:r w:rsidR="00095B07" w:rsidRPr="00095B07">
        <w:t>.</w:t>
      </w:r>
    </w:p>
    <w:p w14:paraId="177B9E46" w14:textId="77777777" w:rsidR="00ED3D15" w:rsidRPr="00ED3D15" w:rsidRDefault="00ED3D15" w:rsidP="00EC394E">
      <w:pPr>
        <w:pStyle w:val="USTustnpkodeksu"/>
      </w:pPr>
      <w:r>
        <w:t>3.</w:t>
      </w:r>
      <w:r w:rsidR="00EF6FBE" w:rsidRPr="00EF6FBE">
        <w:t xml:space="preserve"> </w:t>
      </w:r>
      <w:r w:rsidR="00EF6FBE">
        <w:t>W przypadku bezskutecznego upływu</w:t>
      </w:r>
      <w:r w:rsidR="00EC394E">
        <w:t xml:space="preserve"> terminu, o którym mowa w ust. 2</w:t>
      </w:r>
      <w:r w:rsidR="00FD6703">
        <w:t xml:space="preserve"> pkt 2</w:t>
      </w:r>
      <w:r w:rsidR="00EF6FBE">
        <w:t>, Agencja odmawia</w:t>
      </w:r>
      <w:r w:rsidR="00EF6FBE" w:rsidRPr="00EF6FBE">
        <w:t xml:space="preserve"> </w:t>
      </w:r>
      <w:r w:rsidR="00EF6FBE">
        <w:t>przedłużenia</w:t>
      </w:r>
      <w:r w:rsidR="00EF6FBE" w:rsidRPr="00EF6FBE">
        <w:t xml:space="preserve"> okresu obowiązywania strefy geograficznej </w:t>
      </w:r>
      <w:r w:rsidR="00EF6FBE">
        <w:t xml:space="preserve">albo </w:t>
      </w:r>
      <w:r w:rsidR="00EF6FBE" w:rsidRPr="00EF6FBE">
        <w:t>ponowne</w:t>
      </w:r>
      <w:r w:rsidR="00EF6FBE">
        <w:t>go wyznaczenia</w:t>
      </w:r>
      <w:r w:rsidR="00EF6FBE" w:rsidRPr="00EF6FBE">
        <w:t xml:space="preserve"> strefy geograficznej</w:t>
      </w:r>
      <w:r w:rsidR="00F33F63">
        <w:t xml:space="preserve"> i zwraca opłatę wniesioną</w:t>
      </w:r>
      <w:r w:rsidR="00F97CD0">
        <w:t xml:space="preserve"> przez</w:t>
      </w:r>
      <w:r w:rsidR="00F33F63">
        <w:t xml:space="preserve"> wnioskodawcę przed złożeniem wniosku</w:t>
      </w:r>
      <w:r w:rsidR="00EF6FBE">
        <w:t>.</w:t>
      </w:r>
    </w:p>
    <w:p w14:paraId="7C73AA9C" w14:textId="77777777" w:rsidR="00AB55D1" w:rsidRDefault="00ED3D15" w:rsidP="00711E16">
      <w:pPr>
        <w:pStyle w:val="USTustnpkodeksu"/>
      </w:pPr>
      <w:r>
        <w:t>4</w:t>
      </w:r>
      <w:r w:rsidR="001B374B">
        <w:t>. </w:t>
      </w:r>
      <w:r w:rsidR="00F60B2B">
        <w:t>O</w:t>
      </w:r>
      <w:r w:rsidR="00F60B2B" w:rsidRPr="00F60B2B">
        <w:t>płat</w:t>
      </w:r>
      <w:r w:rsidR="00F60B2B">
        <w:t>y</w:t>
      </w:r>
      <w:r w:rsidR="00F60B2B" w:rsidRPr="00F60B2B">
        <w:t xml:space="preserve"> za czynności związane z wyznacz</w:t>
      </w:r>
      <w:r w:rsidR="00F60B2B">
        <w:t>e</w:t>
      </w:r>
      <w:r w:rsidR="00F60B2B" w:rsidRPr="00F60B2B">
        <w:t>niem strefy geograficznej, przedłuż</w:t>
      </w:r>
      <w:r w:rsidR="00F60B2B">
        <w:t>e</w:t>
      </w:r>
      <w:r w:rsidR="00F60B2B" w:rsidRPr="00F60B2B">
        <w:t>niem okresu obowiązywania strefy geograficznej oraz ponownym wyznacz</w:t>
      </w:r>
      <w:r w:rsidR="00F60B2B">
        <w:t>e</w:t>
      </w:r>
      <w:r w:rsidR="00F60B2B" w:rsidRPr="00F60B2B">
        <w:t>niem strefy geograficznej</w:t>
      </w:r>
      <w:r w:rsidR="00F60B2B">
        <w:t xml:space="preserve"> wnosi się na </w:t>
      </w:r>
      <w:r w:rsidR="0088289C">
        <w:t xml:space="preserve">wskazany </w:t>
      </w:r>
      <w:r w:rsidR="00F60B2B">
        <w:t xml:space="preserve">rachunek </w:t>
      </w:r>
      <w:r w:rsidR="00A73D27">
        <w:t xml:space="preserve">bankowy </w:t>
      </w:r>
      <w:r w:rsidR="00F60B2B">
        <w:t>Agencji.</w:t>
      </w:r>
    </w:p>
    <w:p w14:paraId="7C6511F0" w14:textId="77777777" w:rsidR="00A73D27" w:rsidRDefault="00ED3D15" w:rsidP="00ED3D15">
      <w:pPr>
        <w:pStyle w:val="USTustnpkodeksu"/>
        <w:rPr>
          <w:rStyle w:val="Ppogrubienie"/>
        </w:rPr>
      </w:pPr>
      <w:r>
        <w:t>5</w:t>
      </w:r>
      <w:r w:rsidR="001B374B">
        <w:t>. </w:t>
      </w:r>
      <w:r w:rsidR="00A73D27">
        <w:t>Uiszczając opłatę</w:t>
      </w:r>
      <w:r w:rsidR="00A73D27" w:rsidRPr="00A73D27">
        <w:t xml:space="preserve"> za czynności związane z wyznaczeniem strefy geograficznej, przedłużeniem okresu obowiązywania strefy geograficznej </w:t>
      </w:r>
      <w:r w:rsidR="00F662F0">
        <w:t>albo</w:t>
      </w:r>
      <w:r w:rsidR="00A73D27" w:rsidRPr="00A73D27">
        <w:t xml:space="preserve"> ponownym wyznaczeniem strefy geograficznej</w:t>
      </w:r>
      <w:r w:rsidR="00A73D27">
        <w:t>, wnioskodawca wskazuje rodzaj czynności, za którą wnosi opłatę.</w:t>
      </w:r>
    </w:p>
    <w:p w14:paraId="4C6E1A59" w14:textId="0BF180EB" w:rsidR="005E7F4A" w:rsidRDefault="00EE304C">
      <w:pPr>
        <w:pStyle w:val="ARTartustawynprozporzdzenia"/>
        <w:rPr>
          <w:rStyle w:val="Ppogrubienie"/>
          <w:rFonts w:ascii="Times New Roman" w:hAnsi="Times New Roman"/>
        </w:rPr>
      </w:pPr>
      <w:bookmarkStart w:id="13" w:name="_Hlk60862774"/>
      <w:r w:rsidRPr="00BA24DC">
        <w:rPr>
          <w:rStyle w:val="Ppogrubienie"/>
        </w:rPr>
        <w:lastRenderedPageBreak/>
        <w:t>§ </w:t>
      </w:r>
      <w:r w:rsidR="001027AB">
        <w:rPr>
          <w:rStyle w:val="Ppogrubienie"/>
        </w:rPr>
        <w:t>1</w:t>
      </w:r>
      <w:r w:rsidR="003074F6">
        <w:rPr>
          <w:rStyle w:val="Ppogrubienie"/>
        </w:rPr>
        <w:t>3</w:t>
      </w:r>
      <w:r>
        <w:t xml:space="preserve">. </w:t>
      </w:r>
      <w:bookmarkEnd w:id="13"/>
      <w:r w:rsidR="004A5A70">
        <w:t>Agencja może przekształcić w strefy geograficzne i</w:t>
      </w:r>
      <w:r w:rsidR="005E7F4A" w:rsidRPr="005E7F4A">
        <w:t xml:space="preserve">stniejące elementy struktury przestrzeni powietrznej dla </w:t>
      </w:r>
      <w:r w:rsidR="00EB2678">
        <w:t xml:space="preserve">systemów </w:t>
      </w:r>
      <w:r w:rsidR="005E7F4A" w:rsidRPr="005E7F4A">
        <w:t>bezzałogowych statków powietrznych ustanowione na podstawie przepisów, o których mowa w</w:t>
      </w:r>
      <w:r w:rsidR="009B1F83">
        <w:t xml:space="preserve"> § </w:t>
      </w:r>
      <w:r w:rsidR="00603626">
        <w:t>7</w:t>
      </w:r>
      <w:r w:rsidR="005E7F4A" w:rsidRPr="005E7F4A">
        <w:t xml:space="preserve"> ust. 1</w:t>
      </w:r>
      <w:r w:rsidR="00545522">
        <w:t xml:space="preserve"> pkt 1</w:t>
      </w:r>
      <w:r w:rsidR="005E7F4A" w:rsidRPr="005E7F4A">
        <w:t xml:space="preserve">, </w:t>
      </w:r>
      <w:r w:rsidR="004A5A70">
        <w:t xml:space="preserve">w terminie </w:t>
      </w:r>
      <w:r w:rsidR="008A3B05">
        <w:t>dwóch lat</w:t>
      </w:r>
      <w:r w:rsidR="004A5A70">
        <w:t xml:space="preserve"> </w:t>
      </w:r>
      <w:r w:rsidR="005E7F4A" w:rsidRPr="005E7F4A">
        <w:t>od dnia wejścia w życie niniejszego rozporządzenia. Przepis §</w:t>
      </w:r>
      <w:r w:rsidR="002F6268">
        <w:t xml:space="preserve"> </w:t>
      </w:r>
      <w:r w:rsidR="00603626">
        <w:t>7</w:t>
      </w:r>
      <w:r w:rsidR="007056B5" w:rsidRPr="005E7F4A">
        <w:t xml:space="preserve"> </w:t>
      </w:r>
      <w:r w:rsidR="005E7F4A" w:rsidRPr="005E7F4A">
        <w:t>stosuje się odpowiednio.</w:t>
      </w:r>
    </w:p>
    <w:p w14:paraId="36F5B368" w14:textId="78972C9F" w:rsidR="00BA24DC" w:rsidRDefault="00BA24DC" w:rsidP="00BA24DC">
      <w:pPr>
        <w:pStyle w:val="ARTartustawynprozporzdzenia"/>
      </w:pPr>
      <w:r w:rsidRPr="00BA24DC">
        <w:rPr>
          <w:rStyle w:val="Ppogrubienie"/>
        </w:rPr>
        <w:t>§ </w:t>
      </w:r>
      <w:r w:rsidR="00EE304C">
        <w:rPr>
          <w:rStyle w:val="Ppogrubienie"/>
        </w:rPr>
        <w:t>1</w:t>
      </w:r>
      <w:r w:rsidR="003074F6">
        <w:rPr>
          <w:rStyle w:val="Ppogrubienie"/>
        </w:rPr>
        <w:t>4</w:t>
      </w:r>
      <w:r w:rsidRPr="00BA24DC">
        <w:rPr>
          <w:rStyle w:val="Ppogrubienie"/>
        </w:rPr>
        <w:t>.</w:t>
      </w:r>
      <w:r>
        <w:t> </w:t>
      </w:r>
      <w:r w:rsidRPr="00BA24DC">
        <w:t xml:space="preserve">Rozporządzenie wchodzi w życie </w:t>
      </w:r>
      <w:r w:rsidR="00AA2A42">
        <w:t>z dniem</w:t>
      </w:r>
      <w:r w:rsidR="004A14B4">
        <w:t xml:space="preserve"> następującym po</w:t>
      </w:r>
      <w:r w:rsidR="00CB5A8D">
        <w:t xml:space="preserve"> dniu ogłoszenia.</w:t>
      </w:r>
    </w:p>
    <w:p w14:paraId="0AF065EA" w14:textId="77777777" w:rsidR="009C38D1" w:rsidRPr="00BA24DC" w:rsidRDefault="009C38D1" w:rsidP="00BA24DC">
      <w:pPr>
        <w:pStyle w:val="ARTartustawynprozporzdzenia"/>
      </w:pPr>
    </w:p>
    <w:p w14:paraId="43828046" w14:textId="77777777" w:rsidR="00261A16" w:rsidRPr="00737F6A" w:rsidRDefault="009C38D1" w:rsidP="007A2EBE">
      <w:pPr>
        <w:pStyle w:val="NAZORGWYDnazwaorganuwydajcegoprojektowanyakt"/>
      </w:pPr>
      <w:r w:rsidRPr="009C38D1">
        <w:t>MINISTER INFRASTRUKTURY</w:t>
      </w:r>
    </w:p>
    <w:sectPr w:rsidR="00261A16"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B5CFB" w14:textId="77777777" w:rsidR="008E3A45" w:rsidRDefault="008E3A45">
      <w:r>
        <w:separator/>
      </w:r>
    </w:p>
  </w:endnote>
  <w:endnote w:type="continuationSeparator" w:id="0">
    <w:p w14:paraId="61FEAF6C" w14:textId="77777777" w:rsidR="008E3A45" w:rsidRDefault="008E3A45">
      <w:r>
        <w:continuationSeparator/>
      </w:r>
    </w:p>
  </w:endnote>
  <w:endnote w:type="continuationNotice" w:id="1">
    <w:p w14:paraId="52327BFD" w14:textId="77777777" w:rsidR="008E3A45" w:rsidRDefault="008E3A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D0C11" w14:textId="77777777" w:rsidR="008E3A45" w:rsidRDefault="008E3A45">
      <w:r>
        <w:separator/>
      </w:r>
    </w:p>
  </w:footnote>
  <w:footnote w:type="continuationSeparator" w:id="0">
    <w:p w14:paraId="439F49A7" w14:textId="77777777" w:rsidR="008E3A45" w:rsidRDefault="008E3A45">
      <w:r>
        <w:continuationSeparator/>
      </w:r>
    </w:p>
  </w:footnote>
  <w:footnote w:type="continuationNotice" w:id="1">
    <w:p w14:paraId="3DA52E95" w14:textId="77777777" w:rsidR="008E3A45" w:rsidRDefault="008E3A45">
      <w:pPr>
        <w:spacing w:line="240" w:lineRule="auto"/>
      </w:pPr>
    </w:p>
  </w:footnote>
  <w:footnote w:id="2">
    <w:p w14:paraId="30640843" w14:textId="6822907A" w:rsidR="00F82740" w:rsidRPr="008948FA" w:rsidRDefault="00F82740" w:rsidP="00B85221">
      <w:pPr>
        <w:pStyle w:val="ODNONIKtreodnonika"/>
      </w:pPr>
      <w:r>
        <w:rPr>
          <w:rStyle w:val="Odwoanieprzypisudolnego"/>
        </w:rPr>
        <w:footnoteRef/>
      </w:r>
      <w:r w:rsidRPr="00B85221">
        <w:rPr>
          <w:rStyle w:val="IGindeksgrny"/>
        </w:rPr>
        <w:t>)</w:t>
      </w:r>
      <w:r>
        <w:tab/>
      </w:r>
      <w:r w:rsidRPr="008948FA">
        <w:t xml:space="preserve">Minister Infrastruktury kieruje działem administracji rządowej – transport, na podstawie § 1 ust. 2 pkt </w:t>
      </w:r>
      <w:r w:rsidR="00A81FF3">
        <w:t>3</w:t>
      </w:r>
      <w:r w:rsidR="00A81FF3" w:rsidRPr="008948FA">
        <w:t xml:space="preserve"> </w:t>
      </w:r>
      <w:r w:rsidRPr="008948FA">
        <w:t>rozporządzenia Prezesa</w:t>
      </w:r>
      <w:r>
        <w:t xml:space="preserve"> </w:t>
      </w:r>
      <w:r w:rsidRPr="008948FA">
        <w:t>Rady Ministrów z dnia 1</w:t>
      </w:r>
      <w:r>
        <w:t>8</w:t>
      </w:r>
      <w:r w:rsidRPr="008948FA">
        <w:t xml:space="preserve"> </w:t>
      </w:r>
      <w:r w:rsidR="00A81FF3">
        <w:t>grudnia</w:t>
      </w:r>
      <w:r w:rsidR="00A81FF3" w:rsidRPr="008948FA">
        <w:t xml:space="preserve"> </w:t>
      </w:r>
      <w:r w:rsidRPr="008948FA">
        <w:t>20</w:t>
      </w:r>
      <w:r w:rsidR="00A81FF3">
        <w:t>23</w:t>
      </w:r>
      <w:r w:rsidRPr="008948FA">
        <w:t xml:space="preserve"> r. w sprawie szczegółowego zakresu działania Ministra Infrastruktury (Dz. U. </w:t>
      </w:r>
      <w:r w:rsidR="00173496">
        <w:t xml:space="preserve">poz. </w:t>
      </w:r>
      <w:r w:rsidR="00A81FF3">
        <w:t>2725</w:t>
      </w:r>
      <w:r w:rsidR="00173496">
        <w:t>)</w:t>
      </w:r>
      <w:r w:rsidRPr="008948FA">
        <w:t>.</w:t>
      </w:r>
    </w:p>
  </w:footnote>
  <w:footnote w:id="3">
    <w:p w14:paraId="089DBC73" w14:textId="1F4DA9E2" w:rsidR="00F82740" w:rsidRPr="00CB5A8D" w:rsidRDefault="00F82740" w:rsidP="00CB5A8D">
      <w:pPr>
        <w:pStyle w:val="ODNONIKtreodnonika"/>
      </w:pPr>
      <w:r>
        <w:rPr>
          <w:rStyle w:val="Odwoanieprzypisudolnego"/>
        </w:rPr>
        <w:footnoteRef/>
      </w:r>
      <w:r>
        <w:rPr>
          <w:rStyle w:val="IGindeksgrny"/>
        </w:rPr>
        <w:t>)</w:t>
      </w:r>
      <w:r>
        <w:t xml:space="preserve"> </w:t>
      </w:r>
      <w:r>
        <w:tab/>
        <w:t>Zmiany wymienionego rozporządzenia zostały ogłoszone w Dz. Urz. UE L 255 z 04.10.2019, str. 11, Dz. Urz. UE L 150 z 13.05.2020, str. 1</w:t>
      </w:r>
      <w:r w:rsidR="00507771">
        <w:t>,</w:t>
      </w:r>
      <w:r>
        <w:t xml:space="preserve"> Dz. Urz. UE L 176 z 05.06.2020, str. 13</w:t>
      </w:r>
      <w:r w:rsidR="00507771">
        <w:t xml:space="preserve">, </w:t>
      </w:r>
      <w:r w:rsidR="00507771" w:rsidRPr="00507771">
        <w:t>Dz. Urz. UE L 253 z 16.07.2021, str. 49, Dz. Urz. UE L 87 z 15.03.2022, str. 20</w:t>
      </w:r>
      <w:r w:rsidR="00563CC8">
        <w:t>,</w:t>
      </w:r>
      <w:r w:rsidR="00507771" w:rsidRPr="00507771">
        <w:t xml:space="preserve"> Dz. Urz. UE L 105 z 04.04.2022, str. 3</w:t>
      </w:r>
      <w:r w:rsidR="00563CC8">
        <w:t xml:space="preserve"> </w:t>
      </w:r>
      <w:r w:rsidR="00563CC8" w:rsidRPr="00563CC8">
        <w:t>oraz Dz. Urz. UE L 2024/1110 z 23.05.2024</w:t>
      </w:r>
      <w:r>
        <w:t>.</w:t>
      </w:r>
    </w:p>
  </w:footnote>
  <w:footnote w:id="4">
    <w:p w14:paraId="6006F5F3" w14:textId="017B1082" w:rsidR="00F82740" w:rsidRDefault="00F82740" w:rsidP="00CB5A8D">
      <w:pPr>
        <w:pStyle w:val="ODNONIKtreodnonika"/>
      </w:pPr>
      <w:r>
        <w:rPr>
          <w:rStyle w:val="Odwoanieprzypisudolnego"/>
        </w:rPr>
        <w:footnoteRef/>
      </w:r>
      <w:r w:rsidRPr="006975D3">
        <w:rPr>
          <w:rStyle w:val="IGindeksgrny"/>
        </w:rPr>
        <w:t>)</w:t>
      </w:r>
      <w:r>
        <w:rPr>
          <w:rStyle w:val="IGindeksgrny"/>
        </w:rPr>
        <w:tab/>
      </w:r>
      <w:r w:rsidRPr="00BF1536">
        <w:t>Zmiany wymienionego rozporządzenia zostały ogłoszone w Dz. Urz. UE L 255 z 04.10.2019, str. 7</w:t>
      </w:r>
      <w:r w:rsidR="00507771">
        <w:t>,</w:t>
      </w:r>
      <w:r w:rsidR="0005371E">
        <w:t>Dz. Urz. UE L 232 z 20.07.2020, str. 1</w:t>
      </w:r>
      <w:r w:rsidR="00343519">
        <w:t>,</w:t>
      </w:r>
      <w:r w:rsidR="00507771" w:rsidRPr="00507771">
        <w:t xml:space="preserve"> Dz. Urz. UE L 150 z 01.06.2022 r., str. 21</w:t>
      </w:r>
      <w:r w:rsidR="00343519">
        <w:t xml:space="preserve"> </w:t>
      </w:r>
      <w:bookmarkStart w:id="10" w:name="_Hlk179808327"/>
      <w:r w:rsidR="00343519" w:rsidRPr="00343519">
        <w:t xml:space="preserve">oraz </w:t>
      </w:r>
      <w:bookmarkStart w:id="11" w:name="_Hlk179808303"/>
      <w:r w:rsidR="00343519" w:rsidRPr="00343519">
        <w:t>Dz. Urz. UE L 2024/1108 z 23.05.2024</w:t>
      </w:r>
      <w:bookmarkEnd w:id="10"/>
      <w:bookmarkEnd w:id="11"/>
      <w:r w:rsidR="00981A3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B82F0" w14:textId="1AB75E96" w:rsidR="00F82740" w:rsidRPr="00B371CC" w:rsidRDefault="00F82740" w:rsidP="00B371CC">
    <w:pPr>
      <w:pStyle w:val="Nagwek"/>
      <w:jc w:val="center"/>
    </w:pPr>
    <w:r>
      <w:t xml:space="preserve">– </w:t>
    </w:r>
    <w:r>
      <w:fldChar w:fldCharType="begin"/>
    </w:r>
    <w:r>
      <w:instrText xml:space="preserve"> PAGE  \* MERGEFORMAT </w:instrText>
    </w:r>
    <w:r>
      <w:fldChar w:fldCharType="separate"/>
    </w:r>
    <w:r w:rsidR="00CE2A41">
      <w:rPr>
        <w:noProof/>
      </w:rPr>
      <w:t>9</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23"/>
  </w:num>
  <w:num w:numId="3">
    <w:abstractNumId w:val="18"/>
  </w:num>
  <w:num w:numId="4">
    <w:abstractNumId w:val="18"/>
  </w:num>
  <w:num w:numId="5">
    <w:abstractNumId w:val="35"/>
  </w:num>
  <w:num w:numId="6">
    <w:abstractNumId w:val="31"/>
  </w:num>
  <w:num w:numId="7">
    <w:abstractNumId w:val="35"/>
  </w:num>
  <w:num w:numId="8">
    <w:abstractNumId w:val="31"/>
  </w:num>
  <w:num w:numId="9">
    <w:abstractNumId w:val="35"/>
  </w:num>
  <w:num w:numId="10">
    <w:abstractNumId w:val="31"/>
  </w:num>
  <w:num w:numId="11">
    <w:abstractNumId w:val="14"/>
  </w:num>
  <w:num w:numId="12">
    <w:abstractNumId w:val="10"/>
  </w:num>
  <w:num w:numId="13">
    <w:abstractNumId w:val="15"/>
  </w:num>
  <w:num w:numId="14">
    <w:abstractNumId w:val="26"/>
  </w:num>
  <w:num w:numId="15">
    <w:abstractNumId w:val="14"/>
  </w:num>
  <w:num w:numId="16">
    <w:abstractNumId w:val="16"/>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3"/>
  </w:num>
  <w:num w:numId="28">
    <w:abstractNumId w:val="25"/>
  </w:num>
  <w:num w:numId="29">
    <w:abstractNumId w:val="36"/>
  </w:num>
  <w:num w:numId="30">
    <w:abstractNumId w:val="32"/>
  </w:num>
  <w:num w:numId="31">
    <w:abstractNumId w:val="19"/>
  </w:num>
  <w:num w:numId="32">
    <w:abstractNumId w:val="11"/>
  </w:num>
  <w:num w:numId="33">
    <w:abstractNumId w:val="30"/>
  </w:num>
  <w:num w:numId="34">
    <w:abstractNumId w:val="20"/>
  </w:num>
  <w:num w:numId="35">
    <w:abstractNumId w:val="17"/>
  </w:num>
  <w:num w:numId="36">
    <w:abstractNumId w:val="22"/>
  </w:num>
  <w:num w:numId="37">
    <w:abstractNumId w:val="27"/>
  </w:num>
  <w:num w:numId="38">
    <w:abstractNumId w:val="24"/>
  </w:num>
  <w:num w:numId="39">
    <w:abstractNumId w:val="13"/>
  </w:num>
  <w:num w:numId="40">
    <w:abstractNumId w:val="29"/>
  </w:num>
  <w:num w:numId="41">
    <w:abstractNumId w:val="28"/>
  </w:num>
  <w:num w:numId="42">
    <w:abstractNumId w:val="21"/>
  </w:num>
  <w:num w:numId="43">
    <w:abstractNumId w:val="3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4DC"/>
    <w:rsid w:val="000012DA"/>
    <w:rsid w:val="0000246E"/>
    <w:rsid w:val="000032F4"/>
    <w:rsid w:val="00003862"/>
    <w:rsid w:val="0000691E"/>
    <w:rsid w:val="00010781"/>
    <w:rsid w:val="00012A35"/>
    <w:rsid w:val="0001436F"/>
    <w:rsid w:val="00016099"/>
    <w:rsid w:val="00017850"/>
    <w:rsid w:val="00017DC2"/>
    <w:rsid w:val="00021522"/>
    <w:rsid w:val="0002232D"/>
    <w:rsid w:val="0002284F"/>
    <w:rsid w:val="00023471"/>
    <w:rsid w:val="00023F13"/>
    <w:rsid w:val="00030634"/>
    <w:rsid w:val="000319C1"/>
    <w:rsid w:val="00031A8B"/>
    <w:rsid w:val="00031BCA"/>
    <w:rsid w:val="000322DC"/>
    <w:rsid w:val="000330FA"/>
    <w:rsid w:val="0003362F"/>
    <w:rsid w:val="00033A90"/>
    <w:rsid w:val="00036B63"/>
    <w:rsid w:val="00037E1A"/>
    <w:rsid w:val="0004139C"/>
    <w:rsid w:val="00043495"/>
    <w:rsid w:val="00046A75"/>
    <w:rsid w:val="0004721A"/>
    <w:rsid w:val="00047312"/>
    <w:rsid w:val="000508BD"/>
    <w:rsid w:val="000517AB"/>
    <w:rsid w:val="0005339C"/>
    <w:rsid w:val="0005371E"/>
    <w:rsid w:val="0005397F"/>
    <w:rsid w:val="0005571B"/>
    <w:rsid w:val="00057AB3"/>
    <w:rsid w:val="00060076"/>
    <w:rsid w:val="00060432"/>
    <w:rsid w:val="00060D87"/>
    <w:rsid w:val="000615A5"/>
    <w:rsid w:val="00064E4C"/>
    <w:rsid w:val="00065B56"/>
    <w:rsid w:val="00065DAD"/>
    <w:rsid w:val="00066901"/>
    <w:rsid w:val="00067A3F"/>
    <w:rsid w:val="00071513"/>
    <w:rsid w:val="00071BEE"/>
    <w:rsid w:val="000736CD"/>
    <w:rsid w:val="00074C24"/>
    <w:rsid w:val="0007533B"/>
    <w:rsid w:val="0007545D"/>
    <w:rsid w:val="00075CB1"/>
    <w:rsid w:val="000760BF"/>
    <w:rsid w:val="0007613E"/>
    <w:rsid w:val="00076858"/>
    <w:rsid w:val="00076BFC"/>
    <w:rsid w:val="00076D89"/>
    <w:rsid w:val="00077B26"/>
    <w:rsid w:val="0008117C"/>
    <w:rsid w:val="000814A7"/>
    <w:rsid w:val="0008167F"/>
    <w:rsid w:val="0008557B"/>
    <w:rsid w:val="00085CE7"/>
    <w:rsid w:val="0008756E"/>
    <w:rsid w:val="00090461"/>
    <w:rsid w:val="000906EE"/>
    <w:rsid w:val="00090AC1"/>
    <w:rsid w:val="00091BA2"/>
    <w:rsid w:val="000944EF"/>
    <w:rsid w:val="00095B07"/>
    <w:rsid w:val="00096900"/>
    <w:rsid w:val="0009732D"/>
    <w:rsid w:val="000973F0"/>
    <w:rsid w:val="000A1296"/>
    <w:rsid w:val="000A1C27"/>
    <w:rsid w:val="000A1DAD"/>
    <w:rsid w:val="000A2649"/>
    <w:rsid w:val="000A323B"/>
    <w:rsid w:val="000A3578"/>
    <w:rsid w:val="000A4BD6"/>
    <w:rsid w:val="000A513E"/>
    <w:rsid w:val="000A5C55"/>
    <w:rsid w:val="000B0831"/>
    <w:rsid w:val="000B298D"/>
    <w:rsid w:val="000B31CE"/>
    <w:rsid w:val="000B34E8"/>
    <w:rsid w:val="000B434E"/>
    <w:rsid w:val="000B5B2D"/>
    <w:rsid w:val="000B5DCE"/>
    <w:rsid w:val="000B6AB3"/>
    <w:rsid w:val="000B6C24"/>
    <w:rsid w:val="000B71C7"/>
    <w:rsid w:val="000B7F01"/>
    <w:rsid w:val="000C05BA"/>
    <w:rsid w:val="000C0E8F"/>
    <w:rsid w:val="000C3251"/>
    <w:rsid w:val="000C419B"/>
    <w:rsid w:val="000C4BC4"/>
    <w:rsid w:val="000C6CCC"/>
    <w:rsid w:val="000C70F7"/>
    <w:rsid w:val="000D0110"/>
    <w:rsid w:val="000D2468"/>
    <w:rsid w:val="000D318A"/>
    <w:rsid w:val="000D360E"/>
    <w:rsid w:val="000D42EA"/>
    <w:rsid w:val="000D6173"/>
    <w:rsid w:val="000D6BB8"/>
    <w:rsid w:val="000D6F83"/>
    <w:rsid w:val="000D7F5A"/>
    <w:rsid w:val="000E25CC"/>
    <w:rsid w:val="000E2DF1"/>
    <w:rsid w:val="000E3694"/>
    <w:rsid w:val="000E479D"/>
    <w:rsid w:val="000E490F"/>
    <w:rsid w:val="000E6241"/>
    <w:rsid w:val="000F2BE3"/>
    <w:rsid w:val="000F3D0D"/>
    <w:rsid w:val="000F5C84"/>
    <w:rsid w:val="000F6ED4"/>
    <w:rsid w:val="000F7240"/>
    <w:rsid w:val="000F7A6E"/>
    <w:rsid w:val="000F7F7A"/>
    <w:rsid w:val="001010E1"/>
    <w:rsid w:val="00102307"/>
    <w:rsid w:val="001027AB"/>
    <w:rsid w:val="001037DD"/>
    <w:rsid w:val="001042BA"/>
    <w:rsid w:val="0010582A"/>
    <w:rsid w:val="0010697A"/>
    <w:rsid w:val="00106D03"/>
    <w:rsid w:val="00110465"/>
    <w:rsid w:val="00110628"/>
    <w:rsid w:val="00110B18"/>
    <w:rsid w:val="001112B8"/>
    <w:rsid w:val="00111B58"/>
    <w:rsid w:val="0011245A"/>
    <w:rsid w:val="00114839"/>
    <w:rsid w:val="0011493E"/>
    <w:rsid w:val="00115B72"/>
    <w:rsid w:val="001170B4"/>
    <w:rsid w:val="001209EC"/>
    <w:rsid w:val="00120A9E"/>
    <w:rsid w:val="0012207E"/>
    <w:rsid w:val="001232B1"/>
    <w:rsid w:val="00125A9C"/>
    <w:rsid w:val="001270A2"/>
    <w:rsid w:val="00127F9C"/>
    <w:rsid w:val="00131237"/>
    <w:rsid w:val="0013141C"/>
    <w:rsid w:val="00131E5C"/>
    <w:rsid w:val="001329AC"/>
    <w:rsid w:val="00134426"/>
    <w:rsid w:val="00134CA0"/>
    <w:rsid w:val="0014026F"/>
    <w:rsid w:val="00142FC0"/>
    <w:rsid w:val="0014345A"/>
    <w:rsid w:val="00145763"/>
    <w:rsid w:val="0014593D"/>
    <w:rsid w:val="00147A47"/>
    <w:rsid w:val="00147AA1"/>
    <w:rsid w:val="00147FBF"/>
    <w:rsid w:val="001520CF"/>
    <w:rsid w:val="001521D7"/>
    <w:rsid w:val="001521F4"/>
    <w:rsid w:val="0015667C"/>
    <w:rsid w:val="00157110"/>
    <w:rsid w:val="0015742A"/>
    <w:rsid w:val="00157AA4"/>
    <w:rsid w:val="00157DA1"/>
    <w:rsid w:val="00161EA9"/>
    <w:rsid w:val="00163147"/>
    <w:rsid w:val="001646DE"/>
    <w:rsid w:val="00164C57"/>
    <w:rsid w:val="00164C9D"/>
    <w:rsid w:val="00164FDA"/>
    <w:rsid w:val="0016567D"/>
    <w:rsid w:val="0016592C"/>
    <w:rsid w:val="001671FD"/>
    <w:rsid w:val="00172F7A"/>
    <w:rsid w:val="00173150"/>
    <w:rsid w:val="00173390"/>
    <w:rsid w:val="00173496"/>
    <w:rsid w:val="001736F0"/>
    <w:rsid w:val="00173BB3"/>
    <w:rsid w:val="001740D0"/>
    <w:rsid w:val="00174F2C"/>
    <w:rsid w:val="00175342"/>
    <w:rsid w:val="00175A3D"/>
    <w:rsid w:val="00175E2E"/>
    <w:rsid w:val="001771AF"/>
    <w:rsid w:val="00180F2A"/>
    <w:rsid w:val="00182723"/>
    <w:rsid w:val="001834C0"/>
    <w:rsid w:val="00183D84"/>
    <w:rsid w:val="00184416"/>
    <w:rsid w:val="00184B91"/>
    <w:rsid w:val="00184D4A"/>
    <w:rsid w:val="001865FC"/>
    <w:rsid w:val="00186EC1"/>
    <w:rsid w:val="00187F73"/>
    <w:rsid w:val="00190E2C"/>
    <w:rsid w:val="0019197E"/>
    <w:rsid w:val="00191E1F"/>
    <w:rsid w:val="001921A8"/>
    <w:rsid w:val="0019473B"/>
    <w:rsid w:val="0019515D"/>
    <w:rsid w:val="001952B1"/>
    <w:rsid w:val="0019637C"/>
    <w:rsid w:val="00196E39"/>
    <w:rsid w:val="00197649"/>
    <w:rsid w:val="001A01FB"/>
    <w:rsid w:val="001A1043"/>
    <w:rsid w:val="001A10E9"/>
    <w:rsid w:val="001A183D"/>
    <w:rsid w:val="001A2B65"/>
    <w:rsid w:val="001A3CD3"/>
    <w:rsid w:val="001A5BEF"/>
    <w:rsid w:val="001A5F9C"/>
    <w:rsid w:val="001A6D18"/>
    <w:rsid w:val="001A7D68"/>
    <w:rsid w:val="001A7F15"/>
    <w:rsid w:val="001B0041"/>
    <w:rsid w:val="001B0195"/>
    <w:rsid w:val="001B264C"/>
    <w:rsid w:val="001B342E"/>
    <w:rsid w:val="001B374B"/>
    <w:rsid w:val="001C066D"/>
    <w:rsid w:val="001C08A8"/>
    <w:rsid w:val="001C1456"/>
    <w:rsid w:val="001C170B"/>
    <w:rsid w:val="001C1832"/>
    <w:rsid w:val="001C188C"/>
    <w:rsid w:val="001C23CB"/>
    <w:rsid w:val="001C4711"/>
    <w:rsid w:val="001D1783"/>
    <w:rsid w:val="001D3907"/>
    <w:rsid w:val="001D53CD"/>
    <w:rsid w:val="001D55A3"/>
    <w:rsid w:val="001D5AF5"/>
    <w:rsid w:val="001E1E73"/>
    <w:rsid w:val="001E4E0C"/>
    <w:rsid w:val="001E526D"/>
    <w:rsid w:val="001E5655"/>
    <w:rsid w:val="001F1832"/>
    <w:rsid w:val="001F220F"/>
    <w:rsid w:val="001F25B3"/>
    <w:rsid w:val="001F2F39"/>
    <w:rsid w:val="001F5F79"/>
    <w:rsid w:val="001F6616"/>
    <w:rsid w:val="001F6F6E"/>
    <w:rsid w:val="0020105B"/>
    <w:rsid w:val="00202BD4"/>
    <w:rsid w:val="00204A97"/>
    <w:rsid w:val="002114EF"/>
    <w:rsid w:val="002137E2"/>
    <w:rsid w:val="00215F7F"/>
    <w:rsid w:val="002166AD"/>
    <w:rsid w:val="00217871"/>
    <w:rsid w:val="002210AF"/>
    <w:rsid w:val="00221ED8"/>
    <w:rsid w:val="002231EA"/>
    <w:rsid w:val="00223FDF"/>
    <w:rsid w:val="002279C0"/>
    <w:rsid w:val="00232B54"/>
    <w:rsid w:val="002342A7"/>
    <w:rsid w:val="002360A5"/>
    <w:rsid w:val="00236EA6"/>
    <w:rsid w:val="0023727E"/>
    <w:rsid w:val="00237646"/>
    <w:rsid w:val="00240410"/>
    <w:rsid w:val="0024058D"/>
    <w:rsid w:val="00240B77"/>
    <w:rsid w:val="00240DED"/>
    <w:rsid w:val="00242081"/>
    <w:rsid w:val="00243777"/>
    <w:rsid w:val="002441CD"/>
    <w:rsid w:val="002462B3"/>
    <w:rsid w:val="00246D08"/>
    <w:rsid w:val="002501A3"/>
    <w:rsid w:val="00250D31"/>
    <w:rsid w:val="0025166C"/>
    <w:rsid w:val="00252088"/>
    <w:rsid w:val="002555D4"/>
    <w:rsid w:val="0025600A"/>
    <w:rsid w:val="00261A16"/>
    <w:rsid w:val="00263522"/>
    <w:rsid w:val="00264731"/>
    <w:rsid w:val="00264EC6"/>
    <w:rsid w:val="00267FB3"/>
    <w:rsid w:val="00270C06"/>
    <w:rsid w:val="00271013"/>
    <w:rsid w:val="00271803"/>
    <w:rsid w:val="00273141"/>
    <w:rsid w:val="00273179"/>
    <w:rsid w:val="00273B7E"/>
    <w:rsid w:val="00273FE4"/>
    <w:rsid w:val="00276392"/>
    <w:rsid w:val="002765B4"/>
    <w:rsid w:val="00276A94"/>
    <w:rsid w:val="0028675B"/>
    <w:rsid w:val="00291CE7"/>
    <w:rsid w:val="0029405D"/>
    <w:rsid w:val="00294FA6"/>
    <w:rsid w:val="00295A6F"/>
    <w:rsid w:val="00296D54"/>
    <w:rsid w:val="00297614"/>
    <w:rsid w:val="002A20C4"/>
    <w:rsid w:val="002A2AE2"/>
    <w:rsid w:val="002A3AB5"/>
    <w:rsid w:val="002A570F"/>
    <w:rsid w:val="002A65A0"/>
    <w:rsid w:val="002A6BB8"/>
    <w:rsid w:val="002A7292"/>
    <w:rsid w:val="002A7358"/>
    <w:rsid w:val="002A75C3"/>
    <w:rsid w:val="002A7902"/>
    <w:rsid w:val="002B0EFC"/>
    <w:rsid w:val="002B0F6B"/>
    <w:rsid w:val="002B23B8"/>
    <w:rsid w:val="002B311E"/>
    <w:rsid w:val="002B4429"/>
    <w:rsid w:val="002B6826"/>
    <w:rsid w:val="002B68A6"/>
    <w:rsid w:val="002B7FAF"/>
    <w:rsid w:val="002C0B1C"/>
    <w:rsid w:val="002C1805"/>
    <w:rsid w:val="002C25E1"/>
    <w:rsid w:val="002C32CB"/>
    <w:rsid w:val="002C6E3E"/>
    <w:rsid w:val="002C7628"/>
    <w:rsid w:val="002D0C4F"/>
    <w:rsid w:val="002D1364"/>
    <w:rsid w:val="002D2EBD"/>
    <w:rsid w:val="002D3E0D"/>
    <w:rsid w:val="002D4D30"/>
    <w:rsid w:val="002D5000"/>
    <w:rsid w:val="002D598D"/>
    <w:rsid w:val="002D6A1B"/>
    <w:rsid w:val="002D6C7C"/>
    <w:rsid w:val="002D7188"/>
    <w:rsid w:val="002E1DE3"/>
    <w:rsid w:val="002E2AB6"/>
    <w:rsid w:val="002E3F34"/>
    <w:rsid w:val="002E44CF"/>
    <w:rsid w:val="002E5F79"/>
    <w:rsid w:val="002E64FA"/>
    <w:rsid w:val="002E6620"/>
    <w:rsid w:val="002F0A00"/>
    <w:rsid w:val="002F0CFA"/>
    <w:rsid w:val="002F1DEF"/>
    <w:rsid w:val="002F336C"/>
    <w:rsid w:val="002F6268"/>
    <w:rsid w:val="002F669F"/>
    <w:rsid w:val="002F6CFE"/>
    <w:rsid w:val="002F77BF"/>
    <w:rsid w:val="00301C97"/>
    <w:rsid w:val="00301F79"/>
    <w:rsid w:val="00305DC3"/>
    <w:rsid w:val="00305E92"/>
    <w:rsid w:val="00305F34"/>
    <w:rsid w:val="00305F72"/>
    <w:rsid w:val="00306565"/>
    <w:rsid w:val="0030688D"/>
    <w:rsid w:val="003074F6"/>
    <w:rsid w:val="0031004C"/>
    <w:rsid w:val="003105F6"/>
    <w:rsid w:val="00311297"/>
    <w:rsid w:val="003113BE"/>
    <w:rsid w:val="003122CA"/>
    <w:rsid w:val="003133CE"/>
    <w:rsid w:val="003135D3"/>
    <w:rsid w:val="003148FD"/>
    <w:rsid w:val="0031608E"/>
    <w:rsid w:val="003162A2"/>
    <w:rsid w:val="0032004A"/>
    <w:rsid w:val="0032060F"/>
    <w:rsid w:val="00321080"/>
    <w:rsid w:val="00322D45"/>
    <w:rsid w:val="00323521"/>
    <w:rsid w:val="0032569A"/>
    <w:rsid w:val="00325A1F"/>
    <w:rsid w:val="003268F9"/>
    <w:rsid w:val="00326AC5"/>
    <w:rsid w:val="00327CBC"/>
    <w:rsid w:val="00330BAF"/>
    <w:rsid w:val="003317A9"/>
    <w:rsid w:val="003331AF"/>
    <w:rsid w:val="00334E3A"/>
    <w:rsid w:val="00335275"/>
    <w:rsid w:val="003361C8"/>
    <w:rsid w:val="003361DD"/>
    <w:rsid w:val="00336C16"/>
    <w:rsid w:val="00337109"/>
    <w:rsid w:val="00341A6A"/>
    <w:rsid w:val="0034260C"/>
    <w:rsid w:val="00343519"/>
    <w:rsid w:val="003435AE"/>
    <w:rsid w:val="00343708"/>
    <w:rsid w:val="00345B9C"/>
    <w:rsid w:val="0034626C"/>
    <w:rsid w:val="00347F9B"/>
    <w:rsid w:val="003503A8"/>
    <w:rsid w:val="00352DAE"/>
    <w:rsid w:val="003540F8"/>
    <w:rsid w:val="00354EB9"/>
    <w:rsid w:val="00355391"/>
    <w:rsid w:val="003602AE"/>
    <w:rsid w:val="00360854"/>
    <w:rsid w:val="00360929"/>
    <w:rsid w:val="003619FB"/>
    <w:rsid w:val="00361EFE"/>
    <w:rsid w:val="003636A0"/>
    <w:rsid w:val="003647D5"/>
    <w:rsid w:val="003659D0"/>
    <w:rsid w:val="00365D03"/>
    <w:rsid w:val="003661FB"/>
    <w:rsid w:val="00367005"/>
    <w:rsid w:val="003674B0"/>
    <w:rsid w:val="00372FF1"/>
    <w:rsid w:val="00376782"/>
    <w:rsid w:val="00376A0A"/>
    <w:rsid w:val="0037727C"/>
    <w:rsid w:val="003774AE"/>
    <w:rsid w:val="00377E70"/>
    <w:rsid w:val="00377F9F"/>
    <w:rsid w:val="00380904"/>
    <w:rsid w:val="00380BE3"/>
    <w:rsid w:val="0038137F"/>
    <w:rsid w:val="003823EE"/>
    <w:rsid w:val="00382960"/>
    <w:rsid w:val="003844BD"/>
    <w:rsid w:val="003846F7"/>
    <w:rsid w:val="003851ED"/>
    <w:rsid w:val="00385B39"/>
    <w:rsid w:val="00386349"/>
    <w:rsid w:val="00386785"/>
    <w:rsid w:val="00390E89"/>
    <w:rsid w:val="00391B1A"/>
    <w:rsid w:val="0039245C"/>
    <w:rsid w:val="00393D24"/>
    <w:rsid w:val="00394423"/>
    <w:rsid w:val="003950DF"/>
    <w:rsid w:val="00396942"/>
    <w:rsid w:val="00396B49"/>
    <w:rsid w:val="00396E3E"/>
    <w:rsid w:val="003A26BA"/>
    <w:rsid w:val="003A306E"/>
    <w:rsid w:val="003A3E54"/>
    <w:rsid w:val="003A4F46"/>
    <w:rsid w:val="003A60DC"/>
    <w:rsid w:val="003A6A46"/>
    <w:rsid w:val="003A7A63"/>
    <w:rsid w:val="003B000C"/>
    <w:rsid w:val="003B0F1D"/>
    <w:rsid w:val="003B1998"/>
    <w:rsid w:val="003B3CC2"/>
    <w:rsid w:val="003B4A57"/>
    <w:rsid w:val="003B4CC4"/>
    <w:rsid w:val="003C088F"/>
    <w:rsid w:val="003C0AD9"/>
    <w:rsid w:val="003C0ED0"/>
    <w:rsid w:val="003C1D49"/>
    <w:rsid w:val="003C35C4"/>
    <w:rsid w:val="003C4BAC"/>
    <w:rsid w:val="003D0D2C"/>
    <w:rsid w:val="003D12C2"/>
    <w:rsid w:val="003D1A1D"/>
    <w:rsid w:val="003D31B9"/>
    <w:rsid w:val="003D3867"/>
    <w:rsid w:val="003D4675"/>
    <w:rsid w:val="003D636D"/>
    <w:rsid w:val="003D6FDF"/>
    <w:rsid w:val="003E0237"/>
    <w:rsid w:val="003E0D1A"/>
    <w:rsid w:val="003E20AC"/>
    <w:rsid w:val="003E2489"/>
    <w:rsid w:val="003E2DA3"/>
    <w:rsid w:val="003E3076"/>
    <w:rsid w:val="003E317F"/>
    <w:rsid w:val="003E5635"/>
    <w:rsid w:val="003E7228"/>
    <w:rsid w:val="003E7298"/>
    <w:rsid w:val="003F020D"/>
    <w:rsid w:val="003F03D9"/>
    <w:rsid w:val="003F2FBE"/>
    <w:rsid w:val="003F318D"/>
    <w:rsid w:val="003F5BAE"/>
    <w:rsid w:val="003F6ED7"/>
    <w:rsid w:val="00401C84"/>
    <w:rsid w:val="00403210"/>
    <w:rsid w:val="004035BB"/>
    <w:rsid w:val="004035EB"/>
    <w:rsid w:val="00405732"/>
    <w:rsid w:val="00406399"/>
    <w:rsid w:val="00407332"/>
    <w:rsid w:val="00407594"/>
    <w:rsid w:val="00407828"/>
    <w:rsid w:val="00413D8E"/>
    <w:rsid w:val="004140F2"/>
    <w:rsid w:val="00417B22"/>
    <w:rsid w:val="00417D39"/>
    <w:rsid w:val="00421085"/>
    <w:rsid w:val="00421C0D"/>
    <w:rsid w:val="0042465E"/>
    <w:rsid w:val="00424DF7"/>
    <w:rsid w:val="00426316"/>
    <w:rsid w:val="00430BA3"/>
    <w:rsid w:val="00432B76"/>
    <w:rsid w:val="00434D01"/>
    <w:rsid w:val="00435D26"/>
    <w:rsid w:val="0044065D"/>
    <w:rsid w:val="00440C99"/>
    <w:rsid w:val="0044175C"/>
    <w:rsid w:val="0044229A"/>
    <w:rsid w:val="0044312A"/>
    <w:rsid w:val="00445F4D"/>
    <w:rsid w:val="004461E1"/>
    <w:rsid w:val="004504C0"/>
    <w:rsid w:val="00450771"/>
    <w:rsid w:val="00451DB5"/>
    <w:rsid w:val="004550FB"/>
    <w:rsid w:val="004571BF"/>
    <w:rsid w:val="00460FE0"/>
    <w:rsid w:val="0046111A"/>
    <w:rsid w:val="00462946"/>
    <w:rsid w:val="00463F43"/>
    <w:rsid w:val="00464975"/>
    <w:rsid w:val="00464B94"/>
    <w:rsid w:val="00464F7A"/>
    <w:rsid w:val="004653A8"/>
    <w:rsid w:val="00465A0B"/>
    <w:rsid w:val="004666A8"/>
    <w:rsid w:val="0047077C"/>
    <w:rsid w:val="00470B05"/>
    <w:rsid w:val="00471E04"/>
    <w:rsid w:val="0047207C"/>
    <w:rsid w:val="004722FF"/>
    <w:rsid w:val="00472CD6"/>
    <w:rsid w:val="004742FF"/>
    <w:rsid w:val="00474E3C"/>
    <w:rsid w:val="00475B66"/>
    <w:rsid w:val="00480A58"/>
    <w:rsid w:val="00482151"/>
    <w:rsid w:val="00482D92"/>
    <w:rsid w:val="00482EAD"/>
    <w:rsid w:val="00482FEB"/>
    <w:rsid w:val="00483269"/>
    <w:rsid w:val="00483D3F"/>
    <w:rsid w:val="00484A0C"/>
    <w:rsid w:val="00484A99"/>
    <w:rsid w:val="00485FAD"/>
    <w:rsid w:val="00487AED"/>
    <w:rsid w:val="00491EDF"/>
    <w:rsid w:val="004922FD"/>
    <w:rsid w:val="00492A3F"/>
    <w:rsid w:val="00494F62"/>
    <w:rsid w:val="004A02F8"/>
    <w:rsid w:val="004A04E3"/>
    <w:rsid w:val="004A058C"/>
    <w:rsid w:val="004A0973"/>
    <w:rsid w:val="004A10A9"/>
    <w:rsid w:val="004A14B4"/>
    <w:rsid w:val="004A1A1C"/>
    <w:rsid w:val="004A2001"/>
    <w:rsid w:val="004A3590"/>
    <w:rsid w:val="004A3AD7"/>
    <w:rsid w:val="004A5A70"/>
    <w:rsid w:val="004A79A5"/>
    <w:rsid w:val="004B00A7"/>
    <w:rsid w:val="004B25E2"/>
    <w:rsid w:val="004B2928"/>
    <w:rsid w:val="004B342C"/>
    <w:rsid w:val="004B34D7"/>
    <w:rsid w:val="004B5037"/>
    <w:rsid w:val="004B5B2F"/>
    <w:rsid w:val="004B626A"/>
    <w:rsid w:val="004B660E"/>
    <w:rsid w:val="004C05BD"/>
    <w:rsid w:val="004C0FB0"/>
    <w:rsid w:val="004C2190"/>
    <w:rsid w:val="004C223C"/>
    <w:rsid w:val="004C3697"/>
    <w:rsid w:val="004C3B06"/>
    <w:rsid w:val="004C3F97"/>
    <w:rsid w:val="004C4D5A"/>
    <w:rsid w:val="004C7EE7"/>
    <w:rsid w:val="004D049C"/>
    <w:rsid w:val="004D0DCB"/>
    <w:rsid w:val="004D15CE"/>
    <w:rsid w:val="004D18DF"/>
    <w:rsid w:val="004D2DEE"/>
    <w:rsid w:val="004D2E1F"/>
    <w:rsid w:val="004D4F4C"/>
    <w:rsid w:val="004D7FD9"/>
    <w:rsid w:val="004E1324"/>
    <w:rsid w:val="004E19A5"/>
    <w:rsid w:val="004E1A41"/>
    <w:rsid w:val="004E31FE"/>
    <w:rsid w:val="004E37E5"/>
    <w:rsid w:val="004E3FDB"/>
    <w:rsid w:val="004E5C0E"/>
    <w:rsid w:val="004E6821"/>
    <w:rsid w:val="004F0E9A"/>
    <w:rsid w:val="004F1F4A"/>
    <w:rsid w:val="004F296D"/>
    <w:rsid w:val="004F508B"/>
    <w:rsid w:val="004F695F"/>
    <w:rsid w:val="004F6CA4"/>
    <w:rsid w:val="004F75BE"/>
    <w:rsid w:val="004F7921"/>
    <w:rsid w:val="00500752"/>
    <w:rsid w:val="00501A50"/>
    <w:rsid w:val="00501B78"/>
    <w:rsid w:val="0050222D"/>
    <w:rsid w:val="00503A77"/>
    <w:rsid w:val="00503AF3"/>
    <w:rsid w:val="00505B2B"/>
    <w:rsid w:val="0050696D"/>
    <w:rsid w:val="00506F7F"/>
    <w:rsid w:val="00507771"/>
    <w:rsid w:val="0051094B"/>
    <w:rsid w:val="00510E3D"/>
    <w:rsid w:val="005110D7"/>
    <w:rsid w:val="005112F0"/>
    <w:rsid w:val="00511860"/>
    <w:rsid w:val="00511D99"/>
    <w:rsid w:val="005128D3"/>
    <w:rsid w:val="00512BA2"/>
    <w:rsid w:val="005147E8"/>
    <w:rsid w:val="00515210"/>
    <w:rsid w:val="005158F2"/>
    <w:rsid w:val="00515A32"/>
    <w:rsid w:val="00521BEA"/>
    <w:rsid w:val="00522AA3"/>
    <w:rsid w:val="00523DB5"/>
    <w:rsid w:val="005241EB"/>
    <w:rsid w:val="00526CF7"/>
    <w:rsid w:val="00526DFC"/>
    <w:rsid w:val="00526F43"/>
    <w:rsid w:val="00527651"/>
    <w:rsid w:val="005319E9"/>
    <w:rsid w:val="005363AB"/>
    <w:rsid w:val="0054124F"/>
    <w:rsid w:val="00542900"/>
    <w:rsid w:val="00544D68"/>
    <w:rsid w:val="00544EF4"/>
    <w:rsid w:val="00545522"/>
    <w:rsid w:val="00545E53"/>
    <w:rsid w:val="005479D9"/>
    <w:rsid w:val="005479E0"/>
    <w:rsid w:val="00547C72"/>
    <w:rsid w:val="005501B5"/>
    <w:rsid w:val="00552C7B"/>
    <w:rsid w:val="00554931"/>
    <w:rsid w:val="005572BD"/>
    <w:rsid w:val="00557A12"/>
    <w:rsid w:val="00560AC7"/>
    <w:rsid w:val="00561846"/>
    <w:rsid w:val="00561AFB"/>
    <w:rsid w:val="00561FA8"/>
    <w:rsid w:val="00563160"/>
    <w:rsid w:val="005635ED"/>
    <w:rsid w:val="00563CC8"/>
    <w:rsid w:val="00563D68"/>
    <w:rsid w:val="00565253"/>
    <w:rsid w:val="0056743B"/>
    <w:rsid w:val="00570191"/>
    <w:rsid w:val="00570570"/>
    <w:rsid w:val="00570B39"/>
    <w:rsid w:val="00572512"/>
    <w:rsid w:val="00573EE6"/>
    <w:rsid w:val="0057547F"/>
    <w:rsid w:val="005754EE"/>
    <w:rsid w:val="0057617E"/>
    <w:rsid w:val="00576497"/>
    <w:rsid w:val="00580338"/>
    <w:rsid w:val="00580F07"/>
    <w:rsid w:val="00581F84"/>
    <w:rsid w:val="0058269E"/>
    <w:rsid w:val="005835E7"/>
    <w:rsid w:val="0058397F"/>
    <w:rsid w:val="00583BF8"/>
    <w:rsid w:val="00585A45"/>
    <w:rsid w:val="00585F33"/>
    <w:rsid w:val="00585FAD"/>
    <w:rsid w:val="00587316"/>
    <w:rsid w:val="00591124"/>
    <w:rsid w:val="00591505"/>
    <w:rsid w:val="0059178B"/>
    <w:rsid w:val="00591A2D"/>
    <w:rsid w:val="005930C5"/>
    <w:rsid w:val="0059619A"/>
    <w:rsid w:val="00597024"/>
    <w:rsid w:val="005A0274"/>
    <w:rsid w:val="005A095C"/>
    <w:rsid w:val="005A669D"/>
    <w:rsid w:val="005A69BD"/>
    <w:rsid w:val="005A75D8"/>
    <w:rsid w:val="005B571C"/>
    <w:rsid w:val="005B713E"/>
    <w:rsid w:val="005B754B"/>
    <w:rsid w:val="005B7C9A"/>
    <w:rsid w:val="005C03B6"/>
    <w:rsid w:val="005C2493"/>
    <w:rsid w:val="005C32A6"/>
    <w:rsid w:val="005C348E"/>
    <w:rsid w:val="005C68E1"/>
    <w:rsid w:val="005D1562"/>
    <w:rsid w:val="005D3763"/>
    <w:rsid w:val="005D4D04"/>
    <w:rsid w:val="005D55E1"/>
    <w:rsid w:val="005D6599"/>
    <w:rsid w:val="005D6D26"/>
    <w:rsid w:val="005D7794"/>
    <w:rsid w:val="005E19F7"/>
    <w:rsid w:val="005E4265"/>
    <w:rsid w:val="005E4F04"/>
    <w:rsid w:val="005E62C2"/>
    <w:rsid w:val="005E679A"/>
    <w:rsid w:val="005E6C71"/>
    <w:rsid w:val="005E79F9"/>
    <w:rsid w:val="005E7D2D"/>
    <w:rsid w:val="005E7F4A"/>
    <w:rsid w:val="005F0963"/>
    <w:rsid w:val="005F0EFF"/>
    <w:rsid w:val="005F1283"/>
    <w:rsid w:val="005F258B"/>
    <w:rsid w:val="005F2824"/>
    <w:rsid w:val="005F2EBA"/>
    <w:rsid w:val="005F2FB7"/>
    <w:rsid w:val="005F35ED"/>
    <w:rsid w:val="005F4EC6"/>
    <w:rsid w:val="005F581C"/>
    <w:rsid w:val="005F674B"/>
    <w:rsid w:val="005F7812"/>
    <w:rsid w:val="005F7A88"/>
    <w:rsid w:val="005F7E5C"/>
    <w:rsid w:val="005F7FEF"/>
    <w:rsid w:val="00603626"/>
    <w:rsid w:val="00603A1A"/>
    <w:rsid w:val="006046D5"/>
    <w:rsid w:val="00607A93"/>
    <w:rsid w:val="006105EF"/>
    <w:rsid w:val="00610C08"/>
    <w:rsid w:val="00611F74"/>
    <w:rsid w:val="00612F02"/>
    <w:rsid w:val="0061306C"/>
    <w:rsid w:val="006133B9"/>
    <w:rsid w:val="0061353D"/>
    <w:rsid w:val="00613A19"/>
    <w:rsid w:val="00615772"/>
    <w:rsid w:val="00616D25"/>
    <w:rsid w:val="0061719B"/>
    <w:rsid w:val="006171E4"/>
    <w:rsid w:val="00617776"/>
    <w:rsid w:val="00620CB3"/>
    <w:rsid w:val="00621256"/>
    <w:rsid w:val="00621FCC"/>
    <w:rsid w:val="00622E4B"/>
    <w:rsid w:val="00624810"/>
    <w:rsid w:val="00627560"/>
    <w:rsid w:val="00631E70"/>
    <w:rsid w:val="006333DA"/>
    <w:rsid w:val="00635134"/>
    <w:rsid w:val="006356E2"/>
    <w:rsid w:val="006365DF"/>
    <w:rsid w:val="00641039"/>
    <w:rsid w:val="00642A65"/>
    <w:rsid w:val="00644264"/>
    <w:rsid w:val="00644C23"/>
    <w:rsid w:val="00645DCE"/>
    <w:rsid w:val="006465AC"/>
    <w:rsid w:val="006465BF"/>
    <w:rsid w:val="006466B3"/>
    <w:rsid w:val="00647A4B"/>
    <w:rsid w:val="0065063A"/>
    <w:rsid w:val="00650B6F"/>
    <w:rsid w:val="00653B22"/>
    <w:rsid w:val="00653C64"/>
    <w:rsid w:val="00655F69"/>
    <w:rsid w:val="00657BF4"/>
    <w:rsid w:val="006601FF"/>
    <w:rsid w:val="006603FB"/>
    <w:rsid w:val="006608DF"/>
    <w:rsid w:val="00660D25"/>
    <w:rsid w:val="00661113"/>
    <w:rsid w:val="006623AC"/>
    <w:rsid w:val="006626FC"/>
    <w:rsid w:val="0066275D"/>
    <w:rsid w:val="00663A8F"/>
    <w:rsid w:val="006644D0"/>
    <w:rsid w:val="006678AF"/>
    <w:rsid w:val="006701EF"/>
    <w:rsid w:val="0067220C"/>
    <w:rsid w:val="006730F3"/>
    <w:rsid w:val="006732E8"/>
    <w:rsid w:val="00673BA5"/>
    <w:rsid w:val="00675266"/>
    <w:rsid w:val="0067557E"/>
    <w:rsid w:val="006756D5"/>
    <w:rsid w:val="006758A9"/>
    <w:rsid w:val="006779FA"/>
    <w:rsid w:val="00680058"/>
    <w:rsid w:val="006801A7"/>
    <w:rsid w:val="00681788"/>
    <w:rsid w:val="00681F9F"/>
    <w:rsid w:val="006838B5"/>
    <w:rsid w:val="006840EA"/>
    <w:rsid w:val="006844E2"/>
    <w:rsid w:val="00685267"/>
    <w:rsid w:val="00685F76"/>
    <w:rsid w:val="006872AE"/>
    <w:rsid w:val="00687791"/>
    <w:rsid w:val="0068788F"/>
    <w:rsid w:val="00690082"/>
    <w:rsid w:val="00690252"/>
    <w:rsid w:val="00693E0A"/>
    <w:rsid w:val="006946BB"/>
    <w:rsid w:val="00695CAF"/>
    <w:rsid w:val="006969FA"/>
    <w:rsid w:val="006975D3"/>
    <w:rsid w:val="006A1311"/>
    <w:rsid w:val="006A1E27"/>
    <w:rsid w:val="006A2F96"/>
    <w:rsid w:val="006A35D5"/>
    <w:rsid w:val="006A4BCF"/>
    <w:rsid w:val="006A6367"/>
    <w:rsid w:val="006A748A"/>
    <w:rsid w:val="006B003B"/>
    <w:rsid w:val="006B14C6"/>
    <w:rsid w:val="006B1CC4"/>
    <w:rsid w:val="006C339B"/>
    <w:rsid w:val="006C419E"/>
    <w:rsid w:val="006C4A31"/>
    <w:rsid w:val="006C4F3A"/>
    <w:rsid w:val="006C5A68"/>
    <w:rsid w:val="006C5AC2"/>
    <w:rsid w:val="006C6AFB"/>
    <w:rsid w:val="006D0418"/>
    <w:rsid w:val="006D2735"/>
    <w:rsid w:val="006D45B2"/>
    <w:rsid w:val="006E0AB5"/>
    <w:rsid w:val="006E0FCC"/>
    <w:rsid w:val="006E1E96"/>
    <w:rsid w:val="006E454A"/>
    <w:rsid w:val="006E4FC7"/>
    <w:rsid w:val="006E5E21"/>
    <w:rsid w:val="006F21D8"/>
    <w:rsid w:val="006F2648"/>
    <w:rsid w:val="006F2F10"/>
    <w:rsid w:val="006F43ED"/>
    <w:rsid w:val="006F482B"/>
    <w:rsid w:val="006F4DB5"/>
    <w:rsid w:val="006F6311"/>
    <w:rsid w:val="00701952"/>
    <w:rsid w:val="00702556"/>
    <w:rsid w:val="0070277E"/>
    <w:rsid w:val="00704156"/>
    <w:rsid w:val="00705461"/>
    <w:rsid w:val="007056B5"/>
    <w:rsid w:val="007069FC"/>
    <w:rsid w:val="00706DC4"/>
    <w:rsid w:val="00711221"/>
    <w:rsid w:val="00711A8B"/>
    <w:rsid w:val="00711E16"/>
    <w:rsid w:val="00712675"/>
    <w:rsid w:val="00713808"/>
    <w:rsid w:val="007151B6"/>
    <w:rsid w:val="0071520D"/>
    <w:rsid w:val="00715A23"/>
    <w:rsid w:val="00715EDB"/>
    <w:rsid w:val="007160D5"/>
    <w:rsid w:val="007163FB"/>
    <w:rsid w:val="00717C2E"/>
    <w:rsid w:val="007204FA"/>
    <w:rsid w:val="007213B3"/>
    <w:rsid w:val="0072457F"/>
    <w:rsid w:val="00725406"/>
    <w:rsid w:val="007256ED"/>
    <w:rsid w:val="0072621B"/>
    <w:rsid w:val="007263FF"/>
    <w:rsid w:val="00727D3A"/>
    <w:rsid w:val="00730555"/>
    <w:rsid w:val="007312CC"/>
    <w:rsid w:val="00735EE8"/>
    <w:rsid w:val="00736A64"/>
    <w:rsid w:val="00737F6A"/>
    <w:rsid w:val="007408DE"/>
    <w:rsid w:val="007410B6"/>
    <w:rsid w:val="007437F8"/>
    <w:rsid w:val="00744C6F"/>
    <w:rsid w:val="007457F6"/>
    <w:rsid w:val="0074591E"/>
    <w:rsid w:val="00745ABB"/>
    <w:rsid w:val="00746E38"/>
    <w:rsid w:val="00747CD5"/>
    <w:rsid w:val="00751AD4"/>
    <w:rsid w:val="0075284B"/>
    <w:rsid w:val="0075294C"/>
    <w:rsid w:val="007529F3"/>
    <w:rsid w:val="00753559"/>
    <w:rsid w:val="00753B51"/>
    <w:rsid w:val="007543C8"/>
    <w:rsid w:val="0075604E"/>
    <w:rsid w:val="00756629"/>
    <w:rsid w:val="007575D2"/>
    <w:rsid w:val="00757B4F"/>
    <w:rsid w:val="00757B6A"/>
    <w:rsid w:val="007608F8"/>
    <w:rsid w:val="007610E0"/>
    <w:rsid w:val="007621AA"/>
    <w:rsid w:val="0076260A"/>
    <w:rsid w:val="00764A67"/>
    <w:rsid w:val="00770177"/>
    <w:rsid w:val="00770F6B"/>
    <w:rsid w:val="00771883"/>
    <w:rsid w:val="00772DA2"/>
    <w:rsid w:val="00773456"/>
    <w:rsid w:val="00776DC2"/>
    <w:rsid w:val="00780122"/>
    <w:rsid w:val="00781293"/>
    <w:rsid w:val="00781CEB"/>
    <w:rsid w:val="0078214B"/>
    <w:rsid w:val="0078498A"/>
    <w:rsid w:val="00785228"/>
    <w:rsid w:val="00786ACB"/>
    <w:rsid w:val="00786D5D"/>
    <w:rsid w:val="007878FE"/>
    <w:rsid w:val="00792207"/>
    <w:rsid w:val="007923DE"/>
    <w:rsid w:val="00792B64"/>
    <w:rsid w:val="00792E29"/>
    <w:rsid w:val="0079379A"/>
    <w:rsid w:val="00794953"/>
    <w:rsid w:val="00796180"/>
    <w:rsid w:val="0079716F"/>
    <w:rsid w:val="007A1F2F"/>
    <w:rsid w:val="007A23D6"/>
    <w:rsid w:val="007A2A5C"/>
    <w:rsid w:val="007A2EBE"/>
    <w:rsid w:val="007A5150"/>
    <w:rsid w:val="007A5373"/>
    <w:rsid w:val="007A5AFE"/>
    <w:rsid w:val="007A65D3"/>
    <w:rsid w:val="007A789F"/>
    <w:rsid w:val="007B2521"/>
    <w:rsid w:val="007B44D6"/>
    <w:rsid w:val="007B73D7"/>
    <w:rsid w:val="007B75BC"/>
    <w:rsid w:val="007B799C"/>
    <w:rsid w:val="007C0BD6"/>
    <w:rsid w:val="007C2B58"/>
    <w:rsid w:val="007C2BFA"/>
    <w:rsid w:val="007C2C19"/>
    <w:rsid w:val="007C3806"/>
    <w:rsid w:val="007C46CB"/>
    <w:rsid w:val="007C4DD8"/>
    <w:rsid w:val="007C5761"/>
    <w:rsid w:val="007C5BB7"/>
    <w:rsid w:val="007C6A8A"/>
    <w:rsid w:val="007D04E6"/>
    <w:rsid w:val="007D07D5"/>
    <w:rsid w:val="007D1C64"/>
    <w:rsid w:val="007D32DD"/>
    <w:rsid w:val="007D3E6B"/>
    <w:rsid w:val="007D6DCE"/>
    <w:rsid w:val="007D6DE5"/>
    <w:rsid w:val="007D72C4"/>
    <w:rsid w:val="007D7B86"/>
    <w:rsid w:val="007E0E3F"/>
    <w:rsid w:val="007E10F1"/>
    <w:rsid w:val="007E2CFE"/>
    <w:rsid w:val="007E59C9"/>
    <w:rsid w:val="007E5A1F"/>
    <w:rsid w:val="007F0072"/>
    <w:rsid w:val="007F11B0"/>
    <w:rsid w:val="007F2EB6"/>
    <w:rsid w:val="007F52B2"/>
    <w:rsid w:val="007F54C3"/>
    <w:rsid w:val="007F6D12"/>
    <w:rsid w:val="007F75FF"/>
    <w:rsid w:val="00800DE9"/>
    <w:rsid w:val="00802949"/>
    <w:rsid w:val="00802ABD"/>
    <w:rsid w:val="0080301E"/>
    <w:rsid w:val="0080365F"/>
    <w:rsid w:val="00803B61"/>
    <w:rsid w:val="00804D31"/>
    <w:rsid w:val="00811584"/>
    <w:rsid w:val="00812BE5"/>
    <w:rsid w:val="00816270"/>
    <w:rsid w:val="00817429"/>
    <w:rsid w:val="00821514"/>
    <w:rsid w:val="00821C49"/>
    <w:rsid w:val="00821E35"/>
    <w:rsid w:val="00824591"/>
    <w:rsid w:val="00824AED"/>
    <w:rsid w:val="00824D7B"/>
    <w:rsid w:val="008274CE"/>
    <w:rsid w:val="00827820"/>
    <w:rsid w:val="00831B8B"/>
    <w:rsid w:val="0083405D"/>
    <w:rsid w:val="008352D4"/>
    <w:rsid w:val="00835AA9"/>
    <w:rsid w:val="00836DB9"/>
    <w:rsid w:val="00837C4E"/>
    <w:rsid w:val="00837C67"/>
    <w:rsid w:val="008415B0"/>
    <w:rsid w:val="00842028"/>
    <w:rsid w:val="008436B8"/>
    <w:rsid w:val="00843B83"/>
    <w:rsid w:val="00844318"/>
    <w:rsid w:val="008460B6"/>
    <w:rsid w:val="008469E8"/>
    <w:rsid w:val="00847A9E"/>
    <w:rsid w:val="00850231"/>
    <w:rsid w:val="008504F3"/>
    <w:rsid w:val="00850C9D"/>
    <w:rsid w:val="00852B59"/>
    <w:rsid w:val="0085387D"/>
    <w:rsid w:val="008539FF"/>
    <w:rsid w:val="008548EA"/>
    <w:rsid w:val="00856272"/>
    <w:rsid w:val="008563FF"/>
    <w:rsid w:val="0086018B"/>
    <w:rsid w:val="00860952"/>
    <w:rsid w:val="00860E69"/>
    <w:rsid w:val="008611DD"/>
    <w:rsid w:val="00861272"/>
    <w:rsid w:val="008620DE"/>
    <w:rsid w:val="0086252C"/>
    <w:rsid w:val="00863EE7"/>
    <w:rsid w:val="008650C3"/>
    <w:rsid w:val="00866867"/>
    <w:rsid w:val="00866F3D"/>
    <w:rsid w:val="008673C2"/>
    <w:rsid w:val="00870BFC"/>
    <w:rsid w:val="00872257"/>
    <w:rsid w:val="008732BB"/>
    <w:rsid w:val="008753E6"/>
    <w:rsid w:val="00875718"/>
    <w:rsid w:val="00876ACF"/>
    <w:rsid w:val="0087738C"/>
    <w:rsid w:val="008802AF"/>
    <w:rsid w:val="0088170B"/>
    <w:rsid w:val="00881926"/>
    <w:rsid w:val="0088289C"/>
    <w:rsid w:val="0088318F"/>
    <w:rsid w:val="0088331D"/>
    <w:rsid w:val="00883563"/>
    <w:rsid w:val="0088509F"/>
    <w:rsid w:val="008850D9"/>
    <w:rsid w:val="008852B0"/>
    <w:rsid w:val="00885814"/>
    <w:rsid w:val="00885AE7"/>
    <w:rsid w:val="00886B60"/>
    <w:rsid w:val="00887889"/>
    <w:rsid w:val="00887A24"/>
    <w:rsid w:val="0089111A"/>
    <w:rsid w:val="008920FF"/>
    <w:rsid w:val="008926E8"/>
    <w:rsid w:val="008936B8"/>
    <w:rsid w:val="00894F19"/>
    <w:rsid w:val="00895DDC"/>
    <w:rsid w:val="00896A10"/>
    <w:rsid w:val="00896D7C"/>
    <w:rsid w:val="008971B5"/>
    <w:rsid w:val="00897EE5"/>
    <w:rsid w:val="008A3946"/>
    <w:rsid w:val="008A3B05"/>
    <w:rsid w:val="008A5A64"/>
    <w:rsid w:val="008A5D26"/>
    <w:rsid w:val="008A6010"/>
    <w:rsid w:val="008A6B13"/>
    <w:rsid w:val="008A6ECB"/>
    <w:rsid w:val="008B05D9"/>
    <w:rsid w:val="008B0BF9"/>
    <w:rsid w:val="008B2387"/>
    <w:rsid w:val="008B2866"/>
    <w:rsid w:val="008B3859"/>
    <w:rsid w:val="008B436D"/>
    <w:rsid w:val="008B4E49"/>
    <w:rsid w:val="008B7712"/>
    <w:rsid w:val="008B7B26"/>
    <w:rsid w:val="008C106B"/>
    <w:rsid w:val="008C3524"/>
    <w:rsid w:val="008C4061"/>
    <w:rsid w:val="008C4229"/>
    <w:rsid w:val="008C5BE0"/>
    <w:rsid w:val="008C7233"/>
    <w:rsid w:val="008C7BE0"/>
    <w:rsid w:val="008D1B76"/>
    <w:rsid w:val="008D2434"/>
    <w:rsid w:val="008D6D40"/>
    <w:rsid w:val="008E171D"/>
    <w:rsid w:val="008E1D66"/>
    <w:rsid w:val="008E2785"/>
    <w:rsid w:val="008E3A45"/>
    <w:rsid w:val="008E3BF8"/>
    <w:rsid w:val="008E77A8"/>
    <w:rsid w:val="008E78A3"/>
    <w:rsid w:val="008F016B"/>
    <w:rsid w:val="008F0654"/>
    <w:rsid w:val="008F06CB"/>
    <w:rsid w:val="008F2E83"/>
    <w:rsid w:val="008F43B3"/>
    <w:rsid w:val="008F612A"/>
    <w:rsid w:val="008F6A2B"/>
    <w:rsid w:val="00900792"/>
    <w:rsid w:val="0090293D"/>
    <w:rsid w:val="00903369"/>
    <w:rsid w:val="009034DE"/>
    <w:rsid w:val="00905396"/>
    <w:rsid w:val="0090605D"/>
    <w:rsid w:val="00906419"/>
    <w:rsid w:val="00906498"/>
    <w:rsid w:val="00912889"/>
    <w:rsid w:val="00913A42"/>
    <w:rsid w:val="00914167"/>
    <w:rsid w:val="009143DB"/>
    <w:rsid w:val="00915065"/>
    <w:rsid w:val="00916A0C"/>
    <w:rsid w:val="00917B17"/>
    <w:rsid w:val="00917CE5"/>
    <w:rsid w:val="009217C0"/>
    <w:rsid w:val="00921FDF"/>
    <w:rsid w:val="00921FF6"/>
    <w:rsid w:val="0092229F"/>
    <w:rsid w:val="00923185"/>
    <w:rsid w:val="00923AAA"/>
    <w:rsid w:val="00925241"/>
    <w:rsid w:val="00925CEC"/>
    <w:rsid w:val="00926A3F"/>
    <w:rsid w:val="0092794E"/>
    <w:rsid w:val="00930D30"/>
    <w:rsid w:val="009332A2"/>
    <w:rsid w:val="009338C9"/>
    <w:rsid w:val="00935D4C"/>
    <w:rsid w:val="00937598"/>
    <w:rsid w:val="0093790B"/>
    <w:rsid w:val="00943751"/>
    <w:rsid w:val="0094393F"/>
    <w:rsid w:val="00943E66"/>
    <w:rsid w:val="00944A6D"/>
    <w:rsid w:val="0094558C"/>
    <w:rsid w:val="00946DD0"/>
    <w:rsid w:val="009509E6"/>
    <w:rsid w:val="00952018"/>
    <w:rsid w:val="00952800"/>
    <w:rsid w:val="0095300D"/>
    <w:rsid w:val="009534C5"/>
    <w:rsid w:val="009547E3"/>
    <w:rsid w:val="00956812"/>
    <w:rsid w:val="00956C42"/>
    <w:rsid w:val="0095719A"/>
    <w:rsid w:val="0096168F"/>
    <w:rsid w:val="00961845"/>
    <w:rsid w:val="009623E9"/>
    <w:rsid w:val="00962982"/>
    <w:rsid w:val="00962C35"/>
    <w:rsid w:val="00962E16"/>
    <w:rsid w:val="0096331B"/>
    <w:rsid w:val="009638A6"/>
    <w:rsid w:val="00963EEB"/>
    <w:rsid w:val="009648BC"/>
    <w:rsid w:val="00964C2F"/>
    <w:rsid w:val="00965F88"/>
    <w:rsid w:val="0098031A"/>
    <w:rsid w:val="00981A3D"/>
    <w:rsid w:val="00981B8B"/>
    <w:rsid w:val="00982686"/>
    <w:rsid w:val="0098369F"/>
    <w:rsid w:val="0098460F"/>
    <w:rsid w:val="00984E03"/>
    <w:rsid w:val="009867B2"/>
    <w:rsid w:val="00987383"/>
    <w:rsid w:val="00987BE4"/>
    <w:rsid w:val="00987C4D"/>
    <w:rsid w:val="00987E85"/>
    <w:rsid w:val="0099145B"/>
    <w:rsid w:val="009945F1"/>
    <w:rsid w:val="0099576B"/>
    <w:rsid w:val="009957D1"/>
    <w:rsid w:val="00997B78"/>
    <w:rsid w:val="009A0D12"/>
    <w:rsid w:val="009A1987"/>
    <w:rsid w:val="009A2BEE"/>
    <w:rsid w:val="009A4298"/>
    <w:rsid w:val="009A4428"/>
    <w:rsid w:val="009A5289"/>
    <w:rsid w:val="009A7A53"/>
    <w:rsid w:val="009B0402"/>
    <w:rsid w:val="009B0B75"/>
    <w:rsid w:val="009B1045"/>
    <w:rsid w:val="009B16DF"/>
    <w:rsid w:val="009B1F83"/>
    <w:rsid w:val="009B4CB2"/>
    <w:rsid w:val="009B6701"/>
    <w:rsid w:val="009B6EF7"/>
    <w:rsid w:val="009B7000"/>
    <w:rsid w:val="009B739C"/>
    <w:rsid w:val="009B77B1"/>
    <w:rsid w:val="009B7B4E"/>
    <w:rsid w:val="009C04EC"/>
    <w:rsid w:val="009C06FA"/>
    <w:rsid w:val="009C0DE9"/>
    <w:rsid w:val="009C0F1D"/>
    <w:rsid w:val="009C11B7"/>
    <w:rsid w:val="009C14CC"/>
    <w:rsid w:val="009C29B4"/>
    <w:rsid w:val="009C328C"/>
    <w:rsid w:val="009C38D1"/>
    <w:rsid w:val="009C4395"/>
    <w:rsid w:val="009C4444"/>
    <w:rsid w:val="009C79AD"/>
    <w:rsid w:val="009C7CA6"/>
    <w:rsid w:val="009D3316"/>
    <w:rsid w:val="009D55AA"/>
    <w:rsid w:val="009E099F"/>
    <w:rsid w:val="009E3E77"/>
    <w:rsid w:val="009E3FAB"/>
    <w:rsid w:val="009E43E3"/>
    <w:rsid w:val="009E5B3F"/>
    <w:rsid w:val="009E7D90"/>
    <w:rsid w:val="009F1AB0"/>
    <w:rsid w:val="009F2049"/>
    <w:rsid w:val="009F31F9"/>
    <w:rsid w:val="009F3381"/>
    <w:rsid w:val="009F501D"/>
    <w:rsid w:val="009F5649"/>
    <w:rsid w:val="00A00852"/>
    <w:rsid w:val="00A02CFD"/>
    <w:rsid w:val="00A039D5"/>
    <w:rsid w:val="00A046AD"/>
    <w:rsid w:val="00A05014"/>
    <w:rsid w:val="00A070EC"/>
    <w:rsid w:val="00A079C1"/>
    <w:rsid w:val="00A1044E"/>
    <w:rsid w:val="00A12520"/>
    <w:rsid w:val="00A1281B"/>
    <w:rsid w:val="00A12D30"/>
    <w:rsid w:val="00A130FD"/>
    <w:rsid w:val="00A13D6D"/>
    <w:rsid w:val="00A14769"/>
    <w:rsid w:val="00A1511A"/>
    <w:rsid w:val="00A16017"/>
    <w:rsid w:val="00A16151"/>
    <w:rsid w:val="00A16EC6"/>
    <w:rsid w:val="00A17C06"/>
    <w:rsid w:val="00A2126E"/>
    <w:rsid w:val="00A21706"/>
    <w:rsid w:val="00A229FF"/>
    <w:rsid w:val="00A242C4"/>
    <w:rsid w:val="00A24FCC"/>
    <w:rsid w:val="00A26A90"/>
    <w:rsid w:val="00A26B27"/>
    <w:rsid w:val="00A27F9A"/>
    <w:rsid w:val="00A30E4F"/>
    <w:rsid w:val="00A32253"/>
    <w:rsid w:val="00A3310E"/>
    <w:rsid w:val="00A33123"/>
    <w:rsid w:val="00A333A0"/>
    <w:rsid w:val="00A37E70"/>
    <w:rsid w:val="00A437E1"/>
    <w:rsid w:val="00A44192"/>
    <w:rsid w:val="00A4685E"/>
    <w:rsid w:val="00A509FC"/>
    <w:rsid w:val="00A50CD4"/>
    <w:rsid w:val="00A50CDC"/>
    <w:rsid w:val="00A51191"/>
    <w:rsid w:val="00A54B7A"/>
    <w:rsid w:val="00A56D15"/>
    <w:rsid w:val="00A56D62"/>
    <w:rsid w:val="00A56F07"/>
    <w:rsid w:val="00A5762C"/>
    <w:rsid w:val="00A600FC"/>
    <w:rsid w:val="00A60BCA"/>
    <w:rsid w:val="00A615B9"/>
    <w:rsid w:val="00A619C0"/>
    <w:rsid w:val="00A638DA"/>
    <w:rsid w:val="00A65676"/>
    <w:rsid w:val="00A65B41"/>
    <w:rsid w:val="00A65E00"/>
    <w:rsid w:val="00A66A78"/>
    <w:rsid w:val="00A67CB3"/>
    <w:rsid w:val="00A70DFF"/>
    <w:rsid w:val="00A71915"/>
    <w:rsid w:val="00A7227C"/>
    <w:rsid w:val="00A726A6"/>
    <w:rsid w:val="00A727F4"/>
    <w:rsid w:val="00A72AB7"/>
    <w:rsid w:val="00A73D27"/>
    <w:rsid w:val="00A7436E"/>
    <w:rsid w:val="00A74E96"/>
    <w:rsid w:val="00A75A8E"/>
    <w:rsid w:val="00A81FF3"/>
    <w:rsid w:val="00A824DD"/>
    <w:rsid w:val="00A82BBF"/>
    <w:rsid w:val="00A82E75"/>
    <w:rsid w:val="00A834E1"/>
    <w:rsid w:val="00A83676"/>
    <w:rsid w:val="00A83B7B"/>
    <w:rsid w:val="00A84274"/>
    <w:rsid w:val="00A842FF"/>
    <w:rsid w:val="00A848E6"/>
    <w:rsid w:val="00A850F3"/>
    <w:rsid w:val="00A864E3"/>
    <w:rsid w:val="00A94529"/>
    <w:rsid w:val="00A94574"/>
    <w:rsid w:val="00A95936"/>
    <w:rsid w:val="00A95AC8"/>
    <w:rsid w:val="00A96265"/>
    <w:rsid w:val="00A97084"/>
    <w:rsid w:val="00A97280"/>
    <w:rsid w:val="00A97DC1"/>
    <w:rsid w:val="00AA1C2C"/>
    <w:rsid w:val="00AA2A42"/>
    <w:rsid w:val="00AA35F6"/>
    <w:rsid w:val="00AA5ACC"/>
    <w:rsid w:val="00AA652A"/>
    <w:rsid w:val="00AA667C"/>
    <w:rsid w:val="00AA6E91"/>
    <w:rsid w:val="00AA7439"/>
    <w:rsid w:val="00AB047E"/>
    <w:rsid w:val="00AB0B0A"/>
    <w:rsid w:val="00AB0BB7"/>
    <w:rsid w:val="00AB1C15"/>
    <w:rsid w:val="00AB22C6"/>
    <w:rsid w:val="00AB2AD0"/>
    <w:rsid w:val="00AB3816"/>
    <w:rsid w:val="00AB49A7"/>
    <w:rsid w:val="00AB55D1"/>
    <w:rsid w:val="00AB67FC"/>
    <w:rsid w:val="00AC00F2"/>
    <w:rsid w:val="00AC1199"/>
    <w:rsid w:val="00AC2A26"/>
    <w:rsid w:val="00AC31B5"/>
    <w:rsid w:val="00AC4C54"/>
    <w:rsid w:val="00AC4EA1"/>
    <w:rsid w:val="00AC5381"/>
    <w:rsid w:val="00AC5920"/>
    <w:rsid w:val="00AC7AB1"/>
    <w:rsid w:val="00AC7C6C"/>
    <w:rsid w:val="00AD0E65"/>
    <w:rsid w:val="00AD177F"/>
    <w:rsid w:val="00AD2BF2"/>
    <w:rsid w:val="00AD4E90"/>
    <w:rsid w:val="00AD5422"/>
    <w:rsid w:val="00AD5471"/>
    <w:rsid w:val="00AE20EB"/>
    <w:rsid w:val="00AE337D"/>
    <w:rsid w:val="00AE354E"/>
    <w:rsid w:val="00AE4179"/>
    <w:rsid w:val="00AE4425"/>
    <w:rsid w:val="00AE4FBE"/>
    <w:rsid w:val="00AE5550"/>
    <w:rsid w:val="00AE650F"/>
    <w:rsid w:val="00AE6555"/>
    <w:rsid w:val="00AE6B1C"/>
    <w:rsid w:val="00AE7D16"/>
    <w:rsid w:val="00AF15E0"/>
    <w:rsid w:val="00AF1D89"/>
    <w:rsid w:val="00AF1F98"/>
    <w:rsid w:val="00AF2437"/>
    <w:rsid w:val="00AF3BBF"/>
    <w:rsid w:val="00AF3EE9"/>
    <w:rsid w:val="00AF4766"/>
    <w:rsid w:val="00AF4CAA"/>
    <w:rsid w:val="00AF571A"/>
    <w:rsid w:val="00AF60A0"/>
    <w:rsid w:val="00AF67FC"/>
    <w:rsid w:val="00AF7DF5"/>
    <w:rsid w:val="00B006E5"/>
    <w:rsid w:val="00B024C2"/>
    <w:rsid w:val="00B02829"/>
    <w:rsid w:val="00B051A3"/>
    <w:rsid w:val="00B05737"/>
    <w:rsid w:val="00B06614"/>
    <w:rsid w:val="00B07700"/>
    <w:rsid w:val="00B111CB"/>
    <w:rsid w:val="00B13921"/>
    <w:rsid w:val="00B14636"/>
    <w:rsid w:val="00B1528C"/>
    <w:rsid w:val="00B16ACD"/>
    <w:rsid w:val="00B16B3B"/>
    <w:rsid w:val="00B21487"/>
    <w:rsid w:val="00B232D1"/>
    <w:rsid w:val="00B24A7A"/>
    <w:rsid w:val="00B24B38"/>
    <w:rsid w:val="00B24DB5"/>
    <w:rsid w:val="00B25739"/>
    <w:rsid w:val="00B2583D"/>
    <w:rsid w:val="00B258DB"/>
    <w:rsid w:val="00B2658C"/>
    <w:rsid w:val="00B27BD5"/>
    <w:rsid w:val="00B31F9E"/>
    <w:rsid w:val="00B3268F"/>
    <w:rsid w:val="00B32C2C"/>
    <w:rsid w:val="00B33A1A"/>
    <w:rsid w:val="00B33E0C"/>
    <w:rsid w:val="00B33E6C"/>
    <w:rsid w:val="00B34BA8"/>
    <w:rsid w:val="00B3518E"/>
    <w:rsid w:val="00B35495"/>
    <w:rsid w:val="00B371CC"/>
    <w:rsid w:val="00B372C5"/>
    <w:rsid w:val="00B41CD9"/>
    <w:rsid w:val="00B41D4F"/>
    <w:rsid w:val="00B427E6"/>
    <w:rsid w:val="00B428A6"/>
    <w:rsid w:val="00B43045"/>
    <w:rsid w:val="00B43E1F"/>
    <w:rsid w:val="00B45FBC"/>
    <w:rsid w:val="00B463E8"/>
    <w:rsid w:val="00B51A7D"/>
    <w:rsid w:val="00B5222E"/>
    <w:rsid w:val="00B535C2"/>
    <w:rsid w:val="00B55544"/>
    <w:rsid w:val="00B56A4A"/>
    <w:rsid w:val="00B57BFD"/>
    <w:rsid w:val="00B642FC"/>
    <w:rsid w:val="00B648BE"/>
    <w:rsid w:val="00B64D26"/>
    <w:rsid w:val="00B64FBB"/>
    <w:rsid w:val="00B65692"/>
    <w:rsid w:val="00B70B49"/>
    <w:rsid w:val="00B70E22"/>
    <w:rsid w:val="00B774CB"/>
    <w:rsid w:val="00B77846"/>
    <w:rsid w:val="00B80402"/>
    <w:rsid w:val="00B80B9A"/>
    <w:rsid w:val="00B814DC"/>
    <w:rsid w:val="00B81AC4"/>
    <w:rsid w:val="00B821CA"/>
    <w:rsid w:val="00B82FF2"/>
    <w:rsid w:val="00B830B7"/>
    <w:rsid w:val="00B848EA"/>
    <w:rsid w:val="00B84B2B"/>
    <w:rsid w:val="00B85221"/>
    <w:rsid w:val="00B90500"/>
    <w:rsid w:val="00B9176C"/>
    <w:rsid w:val="00B91AB4"/>
    <w:rsid w:val="00B935A4"/>
    <w:rsid w:val="00B947D0"/>
    <w:rsid w:val="00B94FF1"/>
    <w:rsid w:val="00B97467"/>
    <w:rsid w:val="00BA24DC"/>
    <w:rsid w:val="00BA27C5"/>
    <w:rsid w:val="00BA3BC3"/>
    <w:rsid w:val="00BA3BFB"/>
    <w:rsid w:val="00BA561A"/>
    <w:rsid w:val="00BA7C5B"/>
    <w:rsid w:val="00BB0DC6"/>
    <w:rsid w:val="00BB15E4"/>
    <w:rsid w:val="00BB1E19"/>
    <w:rsid w:val="00BB2094"/>
    <w:rsid w:val="00BB21D1"/>
    <w:rsid w:val="00BB2742"/>
    <w:rsid w:val="00BB32F2"/>
    <w:rsid w:val="00BB4338"/>
    <w:rsid w:val="00BB6C0E"/>
    <w:rsid w:val="00BB7B38"/>
    <w:rsid w:val="00BC0BD2"/>
    <w:rsid w:val="00BC0E21"/>
    <w:rsid w:val="00BC11E5"/>
    <w:rsid w:val="00BC1700"/>
    <w:rsid w:val="00BC25CC"/>
    <w:rsid w:val="00BC4BC6"/>
    <w:rsid w:val="00BC52FD"/>
    <w:rsid w:val="00BC6A56"/>
    <w:rsid w:val="00BC6E62"/>
    <w:rsid w:val="00BC7443"/>
    <w:rsid w:val="00BD0027"/>
    <w:rsid w:val="00BD0648"/>
    <w:rsid w:val="00BD1040"/>
    <w:rsid w:val="00BD2760"/>
    <w:rsid w:val="00BD2E99"/>
    <w:rsid w:val="00BD34AA"/>
    <w:rsid w:val="00BD7E69"/>
    <w:rsid w:val="00BE0C44"/>
    <w:rsid w:val="00BE181B"/>
    <w:rsid w:val="00BE1B8B"/>
    <w:rsid w:val="00BE2A18"/>
    <w:rsid w:val="00BE2C01"/>
    <w:rsid w:val="00BE3CE5"/>
    <w:rsid w:val="00BE41EC"/>
    <w:rsid w:val="00BE53B3"/>
    <w:rsid w:val="00BE56FB"/>
    <w:rsid w:val="00BE5CA5"/>
    <w:rsid w:val="00BF1536"/>
    <w:rsid w:val="00BF3DDE"/>
    <w:rsid w:val="00BF584F"/>
    <w:rsid w:val="00BF655C"/>
    <w:rsid w:val="00BF6589"/>
    <w:rsid w:val="00BF6F7F"/>
    <w:rsid w:val="00C00647"/>
    <w:rsid w:val="00C00D16"/>
    <w:rsid w:val="00C01BF0"/>
    <w:rsid w:val="00C02764"/>
    <w:rsid w:val="00C0379A"/>
    <w:rsid w:val="00C037D2"/>
    <w:rsid w:val="00C04CEF"/>
    <w:rsid w:val="00C0662F"/>
    <w:rsid w:val="00C06BEC"/>
    <w:rsid w:val="00C076C7"/>
    <w:rsid w:val="00C103C1"/>
    <w:rsid w:val="00C11943"/>
    <w:rsid w:val="00C12E96"/>
    <w:rsid w:val="00C14763"/>
    <w:rsid w:val="00C16141"/>
    <w:rsid w:val="00C229A5"/>
    <w:rsid w:val="00C22E5F"/>
    <w:rsid w:val="00C2363F"/>
    <w:rsid w:val="00C236C8"/>
    <w:rsid w:val="00C23FEB"/>
    <w:rsid w:val="00C24089"/>
    <w:rsid w:val="00C25006"/>
    <w:rsid w:val="00C260B1"/>
    <w:rsid w:val="00C26E56"/>
    <w:rsid w:val="00C27590"/>
    <w:rsid w:val="00C31406"/>
    <w:rsid w:val="00C3169B"/>
    <w:rsid w:val="00C31FB1"/>
    <w:rsid w:val="00C36F88"/>
    <w:rsid w:val="00C37194"/>
    <w:rsid w:val="00C40637"/>
    <w:rsid w:val="00C40F6C"/>
    <w:rsid w:val="00C412D1"/>
    <w:rsid w:val="00C44426"/>
    <w:rsid w:val="00C445F3"/>
    <w:rsid w:val="00C4460E"/>
    <w:rsid w:val="00C449EA"/>
    <w:rsid w:val="00C44DDD"/>
    <w:rsid w:val="00C451F4"/>
    <w:rsid w:val="00C45EB1"/>
    <w:rsid w:val="00C511A7"/>
    <w:rsid w:val="00C51AEA"/>
    <w:rsid w:val="00C51B31"/>
    <w:rsid w:val="00C52B47"/>
    <w:rsid w:val="00C54A3A"/>
    <w:rsid w:val="00C5522E"/>
    <w:rsid w:val="00C5530B"/>
    <w:rsid w:val="00C55566"/>
    <w:rsid w:val="00C55847"/>
    <w:rsid w:val="00C56448"/>
    <w:rsid w:val="00C57612"/>
    <w:rsid w:val="00C667BE"/>
    <w:rsid w:val="00C67492"/>
    <w:rsid w:val="00C6766B"/>
    <w:rsid w:val="00C72223"/>
    <w:rsid w:val="00C73F2C"/>
    <w:rsid w:val="00C76417"/>
    <w:rsid w:val="00C7726F"/>
    <w:rsid w:val="00C80CEB"/>
    <w:rsid w:val="00C823DA"/>
    <w:rsid w:val="00C8259F"/>
    <w:rsid w:val="00C82746"/>
    <w:rsid w:val="00C8312F"/>
    <w:rsid w:val="00C84C47"/>
    <w:rsid w:val="00C85665"/>
    <w:rsid w:val="00C858A4"/>
    <w:rsid w:val="00C8679C"/>
    <w:rsid w:val="00C86AFA"/>
    <w:rsid w:val="00C90007"/>
    <w:rsid w:val="00C91DDA"/>
    <w:rsid w:val="00C944B8"/>
    <w:rsid w:val="00C946AF"/>
    <w:rsid w:val="00C9577C"/>
    <w:rsid w:val="00C958D5"/>
    <w:rsid w:val="00CA03E0"/>
    <w:rsid w:val="00CA73FB"/>
    <w:rsid w:val="00CB126A"/>
    <w:rsid w:val="00CB1778"/>
    <w:rsid w:val="00CB18D0"/>
    <w:rsid w:val="00CB1C8A"/>
    <w:rsid w:val="00CB24F5"/>
    <w:rsid w:val="00CB2663"/>
    <w:rsid w:val="00CB3BBE"/>
    <w:rsid w:val="00CB59E9"/>
    <w:rsid w:val="00CB5A8D"/>
    <w:rsid w:val="00CB6453"/>
    <w:rsid w:val="00CB6B6F"/>
    <w:rsid w:val="00CC0327"/>
    <w:rsid w:val="00CC0D6A"/>
    <w:rsid w:val="00CC19D8"/>
    <w:rsid w:val="00CC2014"/>
    <w:rsid w:val="00CC3436"/>
    <w:rsid w:val="00CC3831"/>
    <w:rsid w:val="00CC3E3D"/>
    <w:rsid w:val="00CC519B"/>
    <w:rsid w:val="00CC5805"/>
    <w:rsid w:val="00CD0497"/>
    <w:rsid w:val="00CD12C1"/>
    <w:rsid w:val="00CD17B8"/>
    <w:rsid w:val="00CD214E"/>
    <w:rsid w:val="00CD277F"/>
    <w:rsid w:val="00CD2CAC"/>
    <w:rsid w:val="00CD46FA"/>
    <w:rsid w:val="00CD5973"/>
    <w:rsid w:val="00CE2A41"/>
    <w:rsid w:val="00CE31A6"/>
    <w:rsid w:val="00CE3A63"/>
    <w:rsid w:val="00CE6EF8"/>
    <w:rsid w:val="00CF09AA"/>
    <w:rsid w:val="00CF1605"/>
    <w:rsid w:val="00CF1B08"/>
    <w:rsid w:val="00CF24EA"/>
    <w:rsid w:val="00CF3980"/>
    <w:rsid w:val="00CF4813"/>
    <w:rsid w:val="00CF5233"/>
    <w:rsid w:val="00CF5544"/>
    <w:rsid w:val="00CF5779"/>
    <w:rsid w:val="00D02512"/>
    <w:rsid w:val="00D029B8"/>
    <w:rsid w:val="00D02F60"/>
    <w:rsid w:val="00D0464E"/>
    <w:rsid w:val="00D04A96"/>
    <w:rsid w:val="00D075F3"/>
    <w:rsid w:val="00D07A7B"/>
    <w:rsid w:val="00D10532"/>
    <w:rsid w:val="00D10E06"/>
    <w:rsid w:val="00D10F2B"/>
    <w:rsid w:val="00D117CD"/>
    <w:rsid w:val="00D15197"/>
    <w:rsid w:val="00D16820"/>
    <w:rsid w:val="00D169C8"/>
    <w:rsid w:val="00D1793F"/>
    <w:rsid w:val="00D21C16"/>
    <w:rsid w:val="00D22AF5"/>
    <w:rsid w:val="00D235EA"/>
    <w:rsid w:val="00D247A9"/>
    <w:rsid w:val="00D25D82"/>
    <w:rsid w:val="00D30851"/>
    <w:rsid w:val="00D309E9"/>
    <w:rsid w:val="00D32721"/>
    <w:rsid w:val="00D328DC"/>
    <w:rsid w:val="00D330AD"/>
    <w:rsid w:val="00D33387"/>
    <w:rsid w:val="00D34653"/>
    <w:rsid w:val="00D35D31"/>
    <w:rsid w:val="00D365EE"/>
    <w:rsid w:val="00D36BE7"/>
    <w:rsid w:val="00D402CE"/>
    <w:rsid w:val="00D402FB"/>
    <w:rsid w:val="00D40353"/>
    <w:rsid w:val="00D40644"/>
    <w:rsid w:val="00D41DD8"/>
    <w:rsid w:val="00D42EDA"/>
    <w:rsid w:val="00D44AB3"/>
    <w:rsid w:val="00D47D7A"/>
    <w:rsid w:val="00D50ABD"/>
    <w:rsid w:val="00D51D3A"/>
    <w:rsid w:val="00D51DE8"/>
    <w:rsid w:val="00D51EDD"/>
    <w:rsid w:val="00D52322"/>
    <w:rsid w:val="00D52AEE"/>
    <w:rsid w:val="00D55290"/>
    <w:rsid w:val="00D57791"/>
    <w:rsid w:val="00D6046A"/>
    <w:rsid w:val="00D60E59"/>
    <w:rsid w:val="00D62870"/>
    <w:rsid w:val="00D655D9"/>
    <w:rsid w:val="00D65647"/>
    <w:rsid w:val="00D65872"/>
    <w:rsid w:val="00D676F3"/>
    <w:rsid w:val="00D70EF5"/>
    <w:rsid w:val="00D71024"/>
    <w:rsid w:val="00D71A25"/>
    <w:rsid w:val="00D71EE4"/>
    <w:rsid w:val="00D71FCF"/>
    <w:rsid w:val="00D727EF"/>
    <w:rsid w:val="00D72A54"/>
    <w:rsid w:val="00D72CC1"/>
    <w:rsid w:val="00D74A4C"/>
    <w:rsid w:val="00D74F50"/>
    <w:rsid w:val="00D76EC9"/>
    <w:rsid w:val="00D7775A"/>
    <w:rsid w:val="00D80E7D"/>
    <w:rsid w:val="00D81397"/>
    <w:rsid w:val="00D814AD"/>
    <w:rsid w:val="00D829E2"/>
    <w:rsid w:val="00D82C87"/>
    <w:rsid w:val="00D848B9"/>
    <w:rsid w:val="00D84EAB"/>
    <w:rsid w:val="00D851F3"/>
    <w:rsid w:val="00D85D31"/>
    <w:rsid w:val="00D87422"/>
    <w:rsid w:val="00D87F6F"/>
    <w:rsid w:val="00D90E69"/>
    <w:rsid w:val="00D91368"/>
    <w:rsid w:val="00D92F3B"/>
    <w:rsid w:val="00D93106"/>
    <w:rsid w:val="00D933E9"/>
    <w:rsid w:val="00D9505D"/>
    <w:rsid w:val="00D953D0"/>
    <w:rsid w:val="00D959F5"/>
    <w:rsid w:val="00D96884"/>
    <w:rsid w:val="00DA09B7"/>
    <w:rsid w:val="00DA3414"/>
    <w:rsid w:val="00DA3FDD"/>
    <w:rsid w:val="00DA606D"/>
    <w:rsid w:val="00DA7017"/>
    <w:rsid w:val="00DA7028"/>
    <w:rsid w:val="00DB1AD2"/>
    <w:rsid w:val="00DB1E66"/>
    <w:rsid w:val="00DB2B58"/>
    <w:rsid w:val="00DB4970"/>
    <w:rsid w:val="00DB49A2"/>
    <w:rsid w:val="00DB5206"/>
    <w:rsid w:val="00DB6276"/>
    <w:rsid w:val="00DB63F5"/>
    <w:rsid w:val="00DB725E"/>
    <w:rsid w:val="00DC1A95"/>
    <w:rsid w:val="00DC1C6B"/>
    <w:rsid w:val="00DC2C2E"/>
    <w:rsid w:val="00DC30B1"/>
    <w:rsid w:val="00DC3E45"/>
    <w:rsid w:val="00DC4695"/>
    <w:rsid w:val="00DC4AF0"/>
    <w:rsid w:val="00DC571B"/>
    <w:rsid w:val="00DC67AB"/>
    <w:rsid w:val="00DC7886"/>
    <w:rsid w:val="00DD0CF2"/>
    <w:rsid w:val="00DD277A"/>
    <w:rsid w:val="00DD307F"/>
    <w:rsid w:val="00DD6F10"/>
    <w:rsid w:val="00DD7207"/>
    <w:rsid w:val="00DE0BAB"/>
    <w:rsid w:val="00DE1554"/>
    <w:rsid w:val="00DE250B"/>
    <w:rsid w:val="00DE2901"/>
    <w:rsid w:val="00DE2B26"/>
    <w:rsid w:val="00DE2E64"/>
    <w:rsid w:val="00DE590F"/>
    <w:rsid w:val="00DE7DC1"/>
    <w:rsid w:val="00DF14F1"/>
    <w:rsid w:val="00DF3F7E"/>
    <w:rsid w:val="00DF66F1"/>
    <w:rsid w:val="00DF7648"/>
    <w:rsid w:val="00DF7A7B"/>
    <w:rsid w:val="00E00B5F"/>
    <w:rsid w:val="00E00E29"/>
    <w:rsid w:val="00E02892"/>
    <w:rsid w:val="00E02BAB"/>
    <w:rsid w:val="00E04CEB"/>
    <w:rsid w:val="00E060BC"/>
    <w:rsid w:val="00E06E7E"/>
    <w:rsid w:val="00E10430"/>
    <w:rsid w:val="00E11420"/>
    <w:rsid w:val="00E11B8E"/>
    <w:rsid w:val="00E124B3"/>
    <w:rsid w:val="00E132FB"/>
    <w:rsid w:val="00E170B7"/>
    <w:rsid w:val="00E177DD"/>
    <w:rsid w:val="00E20900"/>
    <w:rsid w:val="00E20C7F"/>
    <w:rsid w:val="00E20C8A"/>
    <w:rsid w:val="00E22959"/>
    <w:rsid w:val="00E22C54"/>
    <w:rsid w:val="00E2396E"/>
    <w:rsid w:val="00E2468A"/>
    <w:rsid w:val="00E24728"/>
    <w:rsid w:val="00E24EBB"/>
    <w:rsid w:val="00E276AC"/>
    <w:rsid w:val="00E27B46"/>
    <w:rsid w:val="00E310F5"/>
    <w:rsid w:val="00E347C4"/>
    <w:rsid w:val="00E34A35"/>
    <w:rsid w:val="00E35EF3"/>
    <w:rsid w:val="00E36D01"/>
    <w:rsid w:val="00E37BFA"/>
    <w:rsid w:val="00E37C2F"/>
    <w:rsid w:val="00E37E6D"/>
    <w:rsid w:val="00E40D81"/>
    <w:rsid w:val="00E41C28"/>
    <w:rsid w:val="00E46308"/>
    <w:rsid w:val="00E47A3D"/>
    <w:rsid w:val="00E47ACD"/>
    <w:rsid w:val="00E51E17"/>
    <w:rsid w:val="00E52DAB"/>
    <w:rsid w:val="00E539B0"/>
    <w:rsid w:val="00E5452D"/>
    <w:rsid w:val="00E5591E"/>
    <w:rsid w:val="00E55994"/>
    <w:rsid w:val="00E60606"/>
    <w:rsid w:val="00E60C66"/>
    <w:rsid w:val="00E6140F"/>
    <w:rsid w:val="00E6164D"/>
    <w:rsid w:val="00E618C9"/>
    <w:rsid w:val="00E62774"/>
    <w:rsid w:val="00E6307C"/>
    <w:rsid w:val="00E636FA"/>
    <w:rsid w:val="00E65E6C"/>
    <w:rsid w:val="00E66C50"/>
    <w:rsid w:val="00E66D02"/>
    <w:rsid w:val="00E679D3"/>
    <w:rsid w:val="00E7058B"/>
    <w:rsid w:val="00E71208"/>
    <w:rsid w:val="00E71444"/>
    <w:rsid w:val="00E71C91"/>
    <w:rsid w:val="00E720A1"/>
    <w:rsid w:val="00E7395D"/>
    <w:rsid w:val="00E75DDA"/>
    <w:rsid w:val="00E7692F"/>
    <w:rsid w:val="00E76EB9"/>
    <w:rsid w:val="00E773E8"/>
    <w:rsid w:val="00E77441"/>
    <w:rsid w:val="00E83071"/>
    <w:rsid w:val="00E83ADD"/>
    <w:rsid w:val="00E84F38"/>
    <w:rsid w:val="00E85623"/>
    <w:rsid w:val="00E86C13"/>
    <w:rsid w:val="00E87441"/>
    <w:rsid w:val="00E87EB0"/>
    <w:rsid w:val="00E87FBD"/>
    <w:rsid w:val="00E90C0E"/>
    <w:rsid w:val="00E91FAE"/>
    <w:rsid w:val="00E93610"/>
    <w:rsid w:val="00E96E3F"/>
    <w:rsid w:val="00EA139F"/>
    <w:rsid w:val="00EA270C"/>
    <w:rsid w:val="00EA40DC"/>
    <w:rsid w:val="00EA4261"/>
    <w:rsid w:val="00EA4974"/>
    <w:rsid w:val="00EA532E"/>
    <w:rsid w:val="00EB06D9"/>
    <w:rsid w:val="00EB0EA4"/>
    <w:rsid w:val="00EB192B"/>
    <w:rsid w:val="00EB19ED"/>
    <w:rsid w:val="00EB1CAB"/>
    <w:rsid w:val="00EB2678"/>
    <w:rsid w:val="00EB5897"/>
    <w:rsid w:val="00EB5A0E"/>
    <w:rsid w:val="00EC0F5A"/>
    <w:rsid w:val="00EC394E"/>
    <w:rsid w:val="00EC4265"/>
    <w:rsid w:val="00EC4901"/>
    <w:rsid w:val="00EC4CEB"/>
    <w:rsid w:val="00EC5F09"/>
    <w:rsid w:val="00EC659E"/>
    <w:rsid w:val="00EC6AEA"/>
    <w:rsid w:val="00EC751A"/>
    <w:rsid w:val="00ED12EC"/>
    <w:rsid w:val="00ED2072"/>
    <w:rsid w:val="00ED2AE0"/>
    <w:rsid w:val="00ED3D15"/>
    <w:rsid w:val="00ED5553"/>
    <w:rsid w:val="00ED5C19"/>
    <w:rsid w:val="00ED5E36"/>
    <w:rsid w:val="00ED695F"/>
    <w:rsid w:val="00ED6961"/>
    <w:rsid w:val="00EE0852"/>
    <w:rsid w:val="00EE304C"/>
    <w:rsid w:val="00EE5293"/>
    <w:rsid w:val="00EE540F"/>
    <w:rsid w:val="00EE58B5"/>
    <w:rsid w:val="00EE5A88"/>
    <w:rsid w:val="00EE5D94"/>
    <w:rsid w:val="00EF0B96"/>
    <w:rsid w:val="00EF1CD0"/>
    <w:rsid w:val="00EF3486"/>
    <w:rsid w:val="00EF380B"/>
    <w:rsid w:val="00EF47AF"/>
    <w:rsid w:val="00EF53B6"/>
    <w:rsid w:val="00EF67E4"/>
    <w:rsid w:val="00EF6FBE"/>
    <w:rsid w:val="00EF7900"/>
    <w:rsid w:val="00EF7B00"/>
    <w:rsid w:val="00F00B73"/>
    <w:rsid w:val="00F115CA"/>
    <w:rsid w:val="00F1257B"/>
    <w:rsid w:val="00F13936"/>
    <w:rsid w:val="00F14817"/>
    <w:rsid w:val="00F14EBA"/>
    <w:rsid w:val="00F1510F"/>
    <w:rsid w:val="00F1533A"/>
    <w:rsid w:val="00F15E04"/>
    <w:rsid w:val="00F15E5A"/>
    <w:rsid w:val="00F17208"/>
    <w:rsid w:val="00F17F0A"/>
    <w:rsid w:val="00F20B83"/>
    <w:rsid w:val="00F21D55"/>
    <w:rsid w:val="00F2352F"/>
    <w:rsid w:val="00F23631"/>
    <w:rsid w:val="00F2452C"/>
    <w:rsid w:val="00F25A1C"/>
    <w:rsid w:val="00F2668F"/>
    <w:rsid w:val="00F272D2"/>
    <w:rsid w:val="00F2742F"/>
    <w:rsid w:val="00F2753B"/>
    <w:rsid w:val="00F3009D"/>
    <w:rsid w:val="00F31736"/>
    <w:rsid w:val="00F321EB"/>
    <w:rsid w:val="00F33F63"/>
    <w:rsid w:val="00F33F8B"/>
    <w:rsid w:val="00F340B2"/>
    <w:rsid w:val="00F43390"/>
    <w:rsid w:val="00F43E47"/>
    <w:rsid w:val="00F443B2"/>
    <w:rsid w:val="00F458D8"/>
    <w:rsid w:val="00F462F5"/>
    <w:rsid w:val="00F46B63"/>
    <w:rsid w:val="00F47432"/>
    <w:rsid w:val="00F50237"/>
    <w:rsid w:val="00F503E2"/>
    <w:rsid w:val="00F50CAD"/>
    <w:rsid w:val="00F526C9"/>
    <w:rsid w:val="00F526EC"/>
    <w:rsid w:val="00F53596"/>
    <w:rsid w:val="00F55BA8"/>
    <w:rsid w:val="00F55DB1"/>
    <w:rsid w:val="00F56ACA"/>
    <w:rsid w:val="00F600FE"/>
    <w:rsid w:val="00F60B2B"/>
    <w:rsid w:val="00F62E4D"/>
    <w:rsid w:val="00F64B98"/>
    <w:rsid w:val="00F65875"/>
    <w:rsid w:val="00F65DDA"/>
    <w:rsid w:val="00F662F0"/>
    <w:rsid w:val="00F66782"/>
    <w:rsid w:val="00F667F7"/>
    <w:rsid w:val="00F66AB4"/>
    <w:rsid w:val="00F66B34"/>
    <w:rsid w:val="00F675B9"/>
    <w:rsid w:val="00F67913"/>
    <w:rsid w:val="00F711C9"/>
    <w:rsid w:val="00F74C0E"/>
    <w:rsid w:val="00F74C59"/>
    <w:rsid w:val="00F74EE8"/>
    <w:rsid w:val="00F75C3A"/>
    <w:rsid w:val="00F77912"/>
    <w:rsid w:val="00F82740"/>
    <w:rsid w:val="00F82E30"/>
    <w:rsid w:val="00F831CB"/>
    <w:rsid w:val="00F832C9"/>
    <w:rsid w:val="00F84146"/>
    <w:rsid w:val="00F848A3"/>
    <w:rsid w:val="00F84ACF"/>
    <w:rsid w:val="00F853D5"/>
    <w:rsid w:val="00F85742"/>
    <w:rsid w:val="00F85BF8"/>
    <w:rsid w:val="00F871CE"/>
    <w:rsid w:val="00F871FF"/>
    <w:rsid w:val="00F87802"/>
    <w:rsid w:val="00F8794C"/>
    <w:rsid w:val="00F87AF4"/>
    <w:rsid w:val="00F9022E"/>
    <w:rsid w:val="00F92A44"/>
    <w:rsid w:val="00F92C0A"/>
    <w:rsid w:val="00F9415B"/>
    <w:rsid w:val="00F970FD"/>
    <w:rsid w:val="00F97CD0"/>
    <w:rsid w:val="00FA0C74"/>
    <w:rsid w:val="00FA13C2"/>
    <w:rsid w:val="00FA41F9"/>
    <w:rsid w:val="00FA46C0"/>
    <w:rsid w:val="00FA5B97"/>
    <w:rsid w:val="00FA6D29"/>
    <w:rsid w:val="00FA7F91"/>
    <w:rsid w:val="00FB0A81"/>
    <w:rsid w:val="00FB121C"/>
    <w:rsid w:val="00FB14B7"/>
    <w:rsid w:val="00FB1CDD"/>
    <w:rsid w:val="00FB2C2F"/>
    <w:rsid w:val="00FB305C"/>
    <w:rsid w:val="00FB3290"/>
    <w:rsid w:val="00FB39A5"/>
    <w:rsid w:val="00FB40FB"/>
    <w:rsid w:val="00FB5CF9"/>
    <w:rsid w:val="00FC07DB"/>
    <w:rsid w:val="00FC08A7"/>
    <w:rsid w:val="00FC155E"/>
    <w:rsid w:val="00FC21BD"/>
    <w:rsid w:val="00FC2E3D"/>
    <w:rsid w:val="00FC3A43"/>
    <w:rsid w:val="00FC3BDE"/>
    <w:rsid w:val="00FC4103"/>
    <w:rsid w:val="00FC5DC4"/>
    <w:rsid w:val="00FC6357"/>
    <w:rsid w:val="00FC74C6"/>
    <w:rsid w:val="00FC751C"/>
    <w:rsid w:val="00FC7EFC"/>
    <w:rsid w:val="00FD1DBE"/>
    <w:rsid w:val="00FD25A7"/>
    <w:rsid w:val="00FD27B6"/>
    <w:rsid w:val="00FD2927"/>
    <w:rsid w:val="00FD3689"/>
    <w:rsid w:val="00FD399E"/>
    <w:rsid w:val="00FD3E3F"/>
    <w:rsid w:val="00FD42A3"/>
    <w:rsid w:val="00FD6703"/>
    <w:rsid w:val="00FD7468"/>
    <w:rsid w:val="00FD7CE0"/>
    <w:rsid w:val="00FE0941"/>
    <w:rsid w:val="00FE0B3B"/>
    <w:rsid w:val="00FE1547"/>
    <w:rsid w:val="00FE1BE2"/>
    <w:rsid w:val="00FE730A"/>
    <w:rsid w:val="00FF026C"/>
    <w:rsid w:val="00FF07B5"/>
    <w:rsid w:val="00FF0B7B"/>
    <w:rsid w:val="00FF1DD7"/>
    <w:rsid w:val="00FF21AD"/>
    <w:rsid w:val="00FF2829"/>
    <w:rsid w:val="00FF4453"/>
    <w:rsid w:val="00FF5427"/>
    <w:rsid w:val="00FF7E0A"/>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587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4C4D5A"/>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rsid w:val="00405732"/>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405732"/>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4057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5387029">
      <w:bodyDiv w:val="1"/>
      <w:marLeft w:val="0"/>
      <w:marRight w:val="0"/>
      <w:marTop w:val="0"/>
      <w:marBottom w:val="0"/>
      <w:divBdr>
        <w:top w:val="none" w:sz="0" w:space="0" w:color="auto"/>
        <w:left w:val="none" w:sz="0" w:space="0" w:color="auto"/>
        <w:bottom w:val="none" w:sz="0" w:space="0" w:color="auto"/>
        <w:right w:val="none" w:sz="0" w:space="0" w:color="auto"/>
      </w:divBdr>
      <w:divsChild>
        <w:div w:id="358745421">
          <w:marLeft w:val="0"/>
          <w:marRight w:val="0"/>
          <w:marTop w:val="0"/>
          <w:marBottom w:val="0"/>
          <w:divBdr>
            <w:top w:val="none" w:sz="0" w:space="0" w:color="auto"/>
            <w:left w:val="none" w:sz="0" w:space="0" w:color="auto"/>
            <w:bottom w:val="none" w:sz="0" w:space="0" w:color="auto"/>
            <w:right w:val="none" w:sz="0" w:space="0" w:color="auto"/>
          </w:divBdr>
          <w:divsChild>
            <w:div w:id="789978575">
              <w:marLeft w:val="0"/>
              <w:marRight w:val="0"/>
              <w:marTop w:val="0"/>
              <w:marBottom w:val="0"/>
              <w:divBdr>
                <w:top w:val="none" w:sz="0" w:space="0" w:color="auto"/>
                <w:left w:val="none" w:sz="0" w:space="0" w:color="auto"/>
                <w:bottom w:val="none" w:sz="0" w:space="0" w:color="auto"/>
                <w:right w:val="none" w:sz="0" w:space="0" w:color="auto"/>
              </w:divBdr>
              <w:divsChild>
                <w:div w:id="103542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181437">
          <w:marLeft w:val="0"/>
          <w:marRight w:val="0"/>
          <w:marTop w:val="0"/>
          <w:marBottom w:val="0"/>
          <w:divBdr>
            <w:top w:val="none" w:sz="0" w:space="0" w:color="auto"/>
            <w:left w:val="none" w:sz="0" w:space="0" w:color="auto"/>
            <w:bottom w:val="none" w:sz="0" w:space="0" w:color="auto"/>
            <w:right w:val="none" w:sz="0" w:space="0" w:color="auto"/>
          </w:divBdr>
        </w:div>
      </w:divsChild>
    </w:div>
    <w:div w:id="168554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4CE45A-7FD8-4A70-BDDD-49960D12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2354</Words>
  <Characters>14128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2024-06-06T20:48:00Z</dcterms:created>
  <dcterms:modified xsi:type="dcterms:W3CDTF">2024-10-16T09:48:00Z</dcterms:modified>
  <cp:category/>
</cp:coreProperties>
</file>