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UZASADNIENIE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:rsidR="00C21859" w:rsidRPr="001F258A" w:rsidRDefault="00C21859" w:rsidP="00C21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Potrzeba i cel wydania rozporządzenia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Wydanie rozporządzenia Ministra </w:t>
      </w:r>
      <w:r w:rsidRPr="00395DA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Infrastruktury w </w:t>
      </w:r>
      <w:r w:rsidRPr="00395DAE">
        <w:rPr>
          <w:rFonts w:asciiTheme="majorBidi" w:eastAsia="Times New Roman" w:hAnsiTheme="majorBidi" w:cstheme="majorBidi"/>
          <w:sz w:val="24"/>
          <w:szCs w:val="24"/>
          <w:lang w:eastAsia="pl-PL"/>
        </w:rPr>
        <w:t>sprawie</w:t>
      </w:r>
      <w:r w:rsidRPr="00395DAE">
        <w:rPr>
          <w:rFonts w:asciiTheme="majorBidi" w:hAnsiTheme="majorBidi" w:cstheme="majorBidi"/>
          <w:sz w:val="24"/>
          <w:szCs w:val="24"/>
        </w:rPr>
        <w:t xml:space="preserve"> krajowych scenariuszy standardowych</w:t>
      </w:r>
      <w:r w:rsidRPr="00395DAE">
        <w:rPr>
          <w:sz w:val="24"/>
          <w:szCs w:val="24"/>
        </w:rPr>
        <w:t xml:space="preserve"> </w:t>
      </w:r>
      <w:r w:rsidRPr="00395DAE">
        <w:rPr>
          <w:rFonts w:ascii="Times New Roman" w:eastAsia="Times New Roman" w:hAnsi="Times New Roman" w:cs="Arial"/>
          <w:sz w:val="24"/>
          <w:szCs w:val="24"/>
          <w:lang w:eastAsia="pl-PL"/>
        </w:rPr>
        <w:t>podyktowane jest koniecznością realizacji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upoważnienia ustawowego określonego w art. 156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d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BA0071">
        <w:rPr>
          <w:rFonts w:ascii="Times New Roman" w:eastAsia="Times New Roman" w:hAnsi="Times New Roman" w:cs="Arial"/>
          <w:sz w:val="24"/>
          <w:szCs w:val="24"/>
          <w:lang w:eastAsia="pl-PL"/>
        </w:rPr>
        <w:t>13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ustawy z dnia 3 lipca 2002 r. – Prawo lotnicze (</w:t>
      </w:r>
      <w:r w:rsidR="00C66B1D" w:rsidRPr="00C66B1D">
        <w:rPr>
          <w:rFonts w:ascii="Times New Roman" w:eastAsia="Times New Roman" w:hAnsi="Times New Roman" w:cs="Arial"/>
          <w:sz w:val="24"/>
          <w:szCs w:val="24"/>
          <w:lang w:eastAsia="pl-PL"/>
        </w:rPr>
        <w:t>Dz. U. z 2023 r. poz. 2110</w:t>
      </w:r>
      <w:r w:rsidR="00450309">
        <w:rPr>
          <w:rFonts w:ascii="Times New Roman" w:eastAsia="Times New Roman" w:hAnsi="Times New Roman" w:cs="Arial"/>
          <w:sz w:val="24"/>
          <w:szCs w:val="24"/>
          <w:lang w:eastAsia="pl-PL"/>
        </w:rPr>
        <w:t>, z późn. zm.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), zwanej dalej „ustawą – Prawo lotnicze”, dodanego ustawą z dnia … 202</w:t>
      </w:r>
      <w:r w:rsidR="00BB1289">
        <w:rPr>
          <w:rFonts w:ascii="Times New Roman" w:eastAsia="Times New Roman" w:hAnsi="Times New Roman" w:cs="Arial"/>
          <w:sz w:val="24"/>
          <w:szCs w:val="24"/>
          <w:lang w:eastAsia="pl-PL"/>
        </w:rPr>
        <w:t>4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o zmianie ustawy − Prawo lotnicze oraz niektóryc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h innych ustaw (Dz. U. poz. …).</w:t>
      </w:r>
    </w:p>
    <w:p w:rsidR="00C21859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Przepis art. 156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d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ust. </w:t>
      </w:r>
      <w:r w:rsidR="00BA0071">
        <w:rPr>
          <w:rFonts w:ascii="Times New Roman" w:eastAsia="Times New Roman" w:hAnsi="Times New Roman" w:cs="Arial"/>
          <w:sz w:val="24"/>
          <w:szCs w:val="24"/>
          <w:lang w:eastAsia="pl-PL"/>
        </w:rPr>
        <w:t>13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ustawy − Prawo lotnicze stanowi, że minister właściwy do spraw transportu określi, w drodze rozporządzenia,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krajowe scenariusze standardowe (NSTS)</w:t>
      </w:r>
      <w:r w:rsidRPr="001F258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tj.:</w:t>
      </w:r>
    </w:p>
    <w:p w:rsidR="00C21859" w:rsidRPr="00C21859" w:rsidRDefault="00C21859" w:rsidP="00C21859">
      <w:pPr>
        <w:pStyle w:val="PKTpunkt"/>
      </w:pPr>
      <w:r>
        <w:rPr>
          <w:rFonts w:ascii="Times New Roman" w:hAnsi="Times New Roman"/>
          <w:szCs w:val="24"/>
        </w:rPr>
        <w:t>1)</w:t>
      </w:r>
      <w:r>
        <w:rPr>
          <w:rFonts w:ascii="Times New Roman" w:hAnsi="Times New Roman"/>
          <w:szCs w:val="24"/>
        </w:rPr>
        <w:tab/>
      </w:r>
      <w:r w:rsidRPr="00C21859">
        <w:t xml:space="preserve">Krajowy Scenariusz Standardowy NSTS-01 dla operacji w zasięgu widoczności wzrokowej (VLOS) lub z widokiem z pierwszej osoby (FPV), wykonywanych z użyciem bezzałogowego statku powietrznego o masie startowej mniejszej niż 4 kg, </w:t>
      </w:r>
      <w:bookmarkStart w:id="1" w:name="_Hlk142481984"/>
      <w:r w:rsidRPr="00C21859">
        <w:t>stanowiący załącznik nr 1 do rozporządzenia</w:t>
      </w:r>
      <w:bookmarkEnd w:id="1"/>
      <w:r w:rsidRPr="00C21859">
        <w:t>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2)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NSTS-02 dla operacji w zasięgu widoczności wzrokowej (VLOS) z użyciem bezzałogowego statku powietrznego kategorii wielowirnikowiec (MR), o masie startowej mniejszej niż 25 kg, stanowiący załącznik nr 2 do rozporządzenia;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3)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NSTS-03 dla operacji w zasięgu widoczności wzrokowej (VLOS) z użyciem bezzałogowego statku powietrznego kategorii stałopłat (A) o masie startowej mniejszej niż 25 kg, stanowiący załącznik nr 3 do rozporządzenia;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4)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NSTS-04 dla operacji w zasięgu widoczności wzrokowej (VLOS) z użyciem bezzałogowego statku powietrznego kategorii helikopter (H), o masie startowej mniejszej niż 25 kg, stanowiący załącznik nr 4 do rozporządzenia;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5)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NSTS-05 dla operacji poza zasięgiem widoczności wzrokowej (BVLOS) z użyciem bezzałogowego statku powietrznego o masie startowej mniejszej niż 4 kg, w odległości nie większej niż 2 km od pilota bezzałogowego statku powietrznego, stanowiący załącznik nr 5 do rozporządzenia;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6)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NSTS-06 dla operacji poza zasięgiem widoczności wzrokowej (BVLOS) z użyciem bezzałogowego statku powietrznego kategorii wielowirnikowiec (MR) o masie startowej mniejszej niż 25 kg, w odległości nie większej niż 2 km od pilota bezzałogowego statku powietrznego, stanowiący załącznik nr 6 do rozporządzenia;</w:t>
      </w:r>
    </w:p>
    <w:p w:rsidR="00C21859" w:rsidRPr="00C21859" w:rsidRDefault="00C21859" w:rsidP="00C21859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lastRenderedPageBreak/>
        <w:t>7)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NSTS-07 dla operacji poza zasięgiem widoczności wzrokowej (BVLOS) z użyciem bezzałogowego statku powietrznego kategorii stałopłat (A) o masie startowej mniejszej niż 25 kg, w odległości nie większej niż 2 km od pilota bezzałogowego statku powietrznego, stanowiący załącznik nr 7 do rozporządzenia;</w:t>
      </w:r>
    </w:p>
    <w:p w:rsidR="00C21859" w:rsidRPr="00395DAE" w:rsidRDefault="00C21859" w:rsidP="00395DAE">
      <w:pPr>
        <w:spacing w:after="0" w:line="360" w:lineRule="auto"/>
        <w:ind w:left="510" w:hanging="510"/>
        <w:jc w:val="both"/>
        <w:rPr>
          <w:rFonts w:ascii="Times" w:eastAsia="Times New Roman" w:hAnsi="Times" w:cs="Arial"/>
          <w:bCs/>
          <w:sz w:val="24"/>
          <w:szCs w:val="20"/>
          <w:lang w:eastAsia="pl-PL"/>
        </w:rPr>
      </w:pP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>8)</w:t>
      </w:r>
      <w:r w:rsidRPr="00C21859">
        <w:rPr>
          <w:rFonts w:ascii="Times" w:eastAsia="Times New Roman" w:hAnsi="Times" w:cs="Arial"/>
          <w:bCs/>
          <w:sz w:val="24"/>
          <w:szCs w:val="20"/>
          <w:lang w:eastAsia="pl-PL"/>
        </w:rPr>
        <w:tab/>
        <w:t>Krajowy Scenariusz Standardowy NSTS-08 dla operacji poza zasięgiem widoczności wzrokowej (BVLOS) z użyciem bezzałogowego statku powietrznego kategorii helikopter (H) o masie startowej mniejszej niż 25 kg, w odległości nie większej niż 2 km od pilota bezzałogowego statku powietrznego, stanowiący załącznik nr 8 do rozporządzenia.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C21859" w:rsidRPr="001F258A" w:rsidRDefault="00C21859" w:rsidP="00C21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Zakres regulacji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:rsidR="00C21859" w:rsidRDefault="008F2813" w:rsidP="00395D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Krajowe scenariusze standardowe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(NSTS) opisuj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rodzaje operacji możliwych do wykonywania w kategorii szczególnej, o której mowa w art. 5 rozporządzenia </w:t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>wykonawczego Komisji (UE) nr 2019/947 z dnia 24 maja 2019 r. w sprawie przepisów i procedur dotyczących eksploatacji bezzałogowych statków powietrznych (Dz. Urz. UE L 152 z 11.06.2019, str. 45,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z późn. zm.)</w:t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zakresie niezastrzeżonym dla Agencji Unii Europejskiej ds. Bezpieczeństwa Lotniczego (EASA). Przepis art. 56 ust. 8 rozporządzenia Parlamentu Europejskiego i Rady (UE) 2018/1139 z dnia 4 lipca 2018 r. w sprawie wspólnych zasad w dziedzinie lotnictwa cywilnego i utworzenia Agencji Unii Europejskiej ds. Bezpieczeństwa Lotniczego oraz zmieniającego rozporządzenia Parlamentu Europejskiego i Rady (WE) nr 2111/2005, (WE) nr 1008/2008, (UE) nr 996/2010, (UE) nr 376/2014 i dyrektywy Parlamentu Europejskiego i Rady 2014/30/UE i 2014/53/UE, a także uchylającego rozporządzenia Parlamentu Europejskiego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Rady (WE) nr 552/2004 i (WE) nr 216/2008 i rozporządzenie Rady (EWG) nr 3922/91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(Dz. Urz. UE L 212 z 22.08.2018, str. 1, z późn. zm.), umożliwia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bowiem </w:t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ustanowienie przez 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państwo</w:t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członkowski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e</w:t>
      </w:r>
      <w:r w:rsidRPr="008F2813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Unii Europejskiej przepisów, które poddadzą eksploatację bezzałogowych statków powietrznych pewnym warunkom ze względów nieobjętych zakresem stosowania rozporządzenia nr 2018/1139/UE, biorąc pod uwagę względy bezpieczeństwa publicznego lub ochronę prywatności i danych osobowych zgo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dnie z prawem Unii Europejskiej</w:t>
      </w:r>
      <w:r w:rsidR="00C21859"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8F2813" w:rsidRPr="001F258A" w:rsidRDefault="008F2813" w:rsidP="00CB053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przedmiotowej regulacji przewidziano osiem 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krajowych scenariuszy standardowych (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NSTS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. Każdy z nich został opracowany biorąc pod uwagę ryzyko wykonywania danej operacji, z podziałem w zależności od rodzaju operacji – w zasięgu widoczności wzrokowej (VLOS) albo poza zasięgiem widoczności wzrokowej (BVLOS), oraz rodzaju i wagi (maksymalnej masy startowej MTOM) bezzałogowego statku powietrznego. Każdy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z krajowych scenariuszy standardowych zawiera także przepisy dotyczące szkolenia oraz zakresu egzaminu teoretycznego oraz oceny umiejętności praktycznych, których spełnienie jest wymagane przez nadzór lotniczy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aby wykonywać operacje na podstawie danego 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krajowego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scenariusza standardowego. Przepisy przewidują również warunki przedłużania i wznawiania ważności certyfikatu wiedzy teoretycznej przez pilota bezzałogowego statku powietrznego – osobno dla każdego </w:t>
      </w:r>
      <w:r w:rsidR="00395DAE">
        <w:rPr>
          <w:rFonts w:ascii="Times New Roman" w:eastAsia="Times New Roman" w:hAnsi="Times New Roman" w:cs="Arial"/>
          <w:sz w:val="24"/>
          <w:szCs w:val="24"/>
          <w:lang w:eastAsia="pl-PL"/>
        </w:rPr>
        <w:t>krajowego scenariusza standardowego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.</w:t>
      </w:r>
    </w:p>
    <w:p w:rsidR="00C21859" w:rsidRPr="0077241D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rozporządzenia przewiduje, że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rozporządzenie wejdzie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życie po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upływie 14 dni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od dnia ogłoszenia.</w:t>
      </w:r>
    </w:p>
    <w:p w:rsidR="00C21859" w:rsidRPr="0077241D" w:rsidRDefault="00725CBB" w:rsidP="00725CB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77241D">
        <w:rPr>
          <w:rFonts w:ascii="Times New Roman" w:eastAsia="Times New Roman" w:hAnsi="Times New Roman" w:cs="Arial"/>
          <w:sz w:val="24"/>
          <w:szCs w:val="24"/>
          <w:lang w:eastAsia="pl-PL"/>
        </w:rPr>
        <w:t>Nie ma możliwości osiągnięcia celów projektu za pomocą innych środków niż wydanie rozporządzenia.</w:t>
      </w:r>
    </w:p>
    <w:p w:rsidR="00E368BB" w:rsidRPr="0077241D" w:rsidRDefault="00E368BB" w:rsidP="00725CBB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C21859" w:rsidRPr="0077241D" w:rsidRDefault="00C21859" w:rsidP="00C218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 w:rsidRPr="0077241D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Informacje związane z procedowaniem projektu</w:t>
      </w:r>
    </w:p>
    <w:p w:rsidR="00C21859" w:rsidRPr="0077241D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Regulacje zawarte w projektowanym rozporządzeniu nie stanowią przepisów technicznych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w rozumieniu rozporządzenia Rady Ministrów z dnia 23 grudnia 2002 r. w sprawie sposobu funkcjonowania krajowego systemu notyfikacji norm i aktów prawnych (Dz. U. poz. 2039,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 późn. zm.), zatem nie podlega ona notyfikacji.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Projekt nie wymaga przedłożenia właściwym organom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i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instytucjom Unii Europejskiej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, w tym 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Europejskiemu Bankowi Centralnemu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w celu uzyskania opinii, dokonania konsultacji lub uzgodnienia, o których mowa w § 27 ust. 4 uchwały nr 190 Rady Ministrów z dnia 29 października 2013 r. – Regulamin 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pracy Rady Ministrów (M. P. </w:t>
      </w:r>
      <w:r w:rsidR="00450309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 </w:t>
      </w:r>
      <w:r w:rsidR="00566AB8">
        <w:rPr>
          <w:rFonts w:ascii="Times New Roman" w:eastAsia="Times New Roman" w:hAnsi="Times New Roman" w:cs="Arial"/>
          <w:sz w:val="24"/>
          <w:szCs w:val="24"/>
          <w:lang w:eastAsia="pl-PL"/>
        </w:rPr>
        <w:t>2024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r. poz. </w:t>
      </w:r>
      <w:r w:rsidR="00566AB8">
        <w:rPr>
          <w:rFonts w:ascii="Times New Roman" w:eastAsia="Times New Roman" w:hAnsi="Times New Roman" w:cs="Arial"/>
          <w:sz w:val="24"/>
          <w:szCs w:val="24"/>
          <w:lang w:eastAsia="pl-PL"/>
        </w:rPr>
        <w:t>806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).</w:t>
      </w:r>
    </w:p>
    <w:p w:rsidR="00C21859" w:rsidRPr="001F258A" w:rsidRDefault="00C21859" w:rsidP="00C218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pl-PL"/>
        </w:rPr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Zgodnie z art. 5 ustawy z dnia 7 lipca 2005 r. o działalności lobbingowej w procesie stanowienia prawa (Dz. U. z 2017 r. poz. 248) oraz stosownie do § 52 uchwały nr 190 Rady Ministrów </w:t>
      </w:r>
      <w:r w:rsidR="0077241D">
        <w:rPr>
          <w:rFonts w:ascii="Times New Roman" w:eastAsia="Times New Roman" w:hAnsi="Times New Roman" w:cs="Arial"/>
          <w:sz w:val="24"/>
          <w:szCs w:val="24"/>
          <w:lang w:eastAsia="pl-PL"/>
        </w:rPr>
        <w:br/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z dnia 29 października 2013 r. – Regulamin pracy Rady Ministrów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>,</w:t>
      </w: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projekt rozporządzenia zostanie udostępniony w Biuletynie Informacji Publicznej na stronie podmiotowej Rządowego Centrum Legislacji, w serwisie Rządowy Proces Legislacyjny.</w:t>
      </w:r>
    </w:p>
    <w:p w:rsidR="00735E6F" w:rsidRDefault="00C21859" w:rsidP="0077241D">
      <w:pPr>
        <w:widowControl w:val="0"/>
        <w:autoSpaceDE w:val="0"/>
        <w:autoSpaceDN w:val="0"/>
        <w:adjustRightInd w:val="0"/>
        <w:spacing w:after="0" w:line="360" w:lineRule="auto"/>
        <w:jc w:val="both"/>
      </w:pPr>
      <w:r w:rsidRPr="001F258A">
        <w:rPr>
          <w:rFonts w:ascii="Times New Roman" w:eastAsia="Times New Roman" w:hAnsi="Times New Roman" w:cs="Arial"/>
          <w:sz w:val="24"/>
          <w:szCs w:val="24"/>
          <w:lang w:eastAsia="pl-PL"/>
        </w:rPr>
        <w:t>Projekt rozporządzenia jest zgodny z prawem Unii Europejskiej.</w:t>
      </w:r>
    </w:p>
    <w:sectPr w:rsidR="00735E6F" w:rsidSect="0097179F">
      <w:headerReference w:type="default" r:id="rId7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C85" w:rsidRDefault="001C3C85">
      <w:pPr>
        <w:spacing w:after="0" w:line="240" w:lineRule="auto"/>
      </w:pPr>
      <w:r>
        <w:separator/>
      </w:r>
    </w:p>
  </w:endnote>
  <w:endnote w:type="continuationSeparator" w:id="0">
    <w:p w:rsidR="001C3C85" w:rsidRDefault="001C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C85" w:rsidRDefault="001C3C85">
      <w:pPr>
        <w:spacing w:after="0" w:line="240" w:lineRule="auto"/>
      </w:pPr>
      <w:r>
        <w:separator/>
      </w:r>
    </w:p>
  </w:footnote>
  <w:footnote w:type="continuationSeparator" w:id="0">
    <w:p w:rsidR="001C3C85" w:rsidRDefault="001C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179F" w:rsidRPr="00B371CC" w:rsidRDefault="008F2813" w:rsidP="0097179F">
    <w:pPr>
      <w:pStyle w:val="Nagwek1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7589C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33CCC"/>
    <w:multiLevelType w:val="hybridMultilevel"/>
    <w:tmpl w:val="38E89C78"/>
    <w:lvl w:ilvl="0" w:tplc="04150013">
      <w:start w:val="1"/>
      <w:numFmt w:val="upperRoman"/>
      <w:lvlText w:val="%1."/>
      <w:lvlJc w:val="righ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 w15:restartNumberingAfterBreak="0">
    <w:nsid w:val="6DFF1C4B"/>
    <w:multiLevelType w:val="hybridMultilevel"/>
    <w:tmpl w:val="1C540C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859"/>
    <w:rsid w:val="0000357B"/>
    <w:rsid w:val="000433E5"/>
    <w:rsid w:val="00082E44"/>
    <w:rsid w:val="001B16F9"/>
    <w:rsid w:val="001C3C85"/>
    <w:rsid w:val="00215283"/>
    <w:rsid w:val="003167D7"/>
    <w:rsid w:val="0032736F"/>
    <w:rsid w:val="00381A67"/>
    <w:rsid w:val="00395DAE"/>
    <w:rsid w:val="00450309"/>
    <w:rsid w:val="004A16F2"/>
    <w:rsid w:val="004B0B69"/>
    <w:rsid w:val="004C448F"/>
    <w:rsid w:val="00566AB8"/>
    <w:rsid w:val="005C19A5"/>
    <w:rsid w:val="005D345B"/>
    <w:rsid w:val="00683651"/>
    <w:rsid w:val="006F3391"/>
    <w:rsid w:val="00725CBB"/>
    <w:rsid w:val="00735E6F"/>
    <w:rsid w:val="0077241D"/>
    <w:rsid w:val="00803636"/>
    <w:rsid w:val="008F2813"/>
    <w:rsid w:val="009A7E33"/>
    <w:rsid w:val="00A7589C"/>
    <w:rsid w:val="00BA0071"/>
    <w:rsid w:val="00BB1289"/>
    <w:rsid w:val="00C21859"/>
    <w:rsid w:val="00C66B1D"/>
    <w:rsid w:val="00C80788"/>
    <w:rsid w:val="00CB053F"/>
    <w:rsid w:val="00D93614"/>
    <w:rsid w:val="00DE4349"/>
    <w:rsid w:val="00E368BB"/>
    <w:rsid w:val="00F62BD4"/>
    <w:rsid w:val="00F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2B357-8F00-4F18-AD60-930C39907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8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semiHidden/>
    <w:unhideWhenUsed/>
    <w:rsid w:val="00C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semiHidden/>
    <w:rsid w:val="00C21859"/>
  </w:style>
  <w:style w:type="paragraph" w:styleId="Akapitzlist">
    <w:name w:val="List Paragraph"/>
    <w:basedOn w:val="Normalny"/>
    <w:uiPriority w:val="34"/>
    <w:qFormat/>
    <w:rsid w:val="00C21859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semiHidden/>
    <w:unhideWhenUsed/>
    <w:rsid w:val="00C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21859"/>
  </w:style>
  <w:style w:type="paragraph" w:customStyle="1" w:styleId="PKTpunkt">
    <w:name w:val="PKT – punkt"/>
    <w:uiPriority w:val="13"/>
    <w:qFormat/>
    <w:rsid w:val="00C2185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4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4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Opęchowska Dorota</dc:creator>
  <cp:keywords/>
  <dc:description/>
  <cp:lastModifiedBy>Porzycka Magdalena</cp:lastModifiedBy>
  <cp:revision>9</cp:revision>
  <dcterms:created xsi:type="dcterms:W3CDTF">2024-06-06T20:17:00Z</dcterms:created>
  <dcterms:modified xsi:type="dcterms:W3CDTF">2024-10-14T18:21:00Z</dcterms:modified>
</cp:coreProperties>
</file>