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D4A591" w14:textId="18B2DDFA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bookmarkStart w:id="0" w:name="_GoBack"/>
      <w:bookmarkEnd w:id="0"/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UZASADNIENIE</w:t>
      </w:r>
    </w:p>
    <w:p w14:paraId="74E07BB2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62F65B91" w14:textId="77777777" w:rsidR="00267359" w:rsidRPr="00E57CA9" w:rsidRDefault="00267359" w:rsidP="002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Potrzeba i cel wydania rozporządzenia</w:t>
      </w:r>
    </w:p>
    <w:p w14:paraId="2023A5EA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12A0CC7D" w14:textId="6FB65C09" w:rsidR="0030020D" w:rsidRPr="00E57CA9" w:rsidRDefault="00267359" w:rsidP="00F152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Wydanie rozporządzenia Ministra Infrastruktury w sprawie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wykonywania operacji z użyciem 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systemu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bezzałogow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ego statku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powietrzn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ego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podyktowane jest koniecznością realizacji upoważnienia ustawowego określonego w z art. 156</w:t>
      </w:r>
      <w:r w:rsidR="0072748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g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ust. </w:t>
      </w:r>
      <w:r w:rsidR="002B5951">
        <w:rPr>
          <w:rFonts w:ascii="Times New Roman" w:eastAsia="Times New Roman" w:hAnsi="Times New Roman" w:cs="Arial"/>
          <w:sz w:val="24"/>
          <w:szCs w:val="24"/>
          <w:lang w:eastAsia="pl-PL"/>
        </w:rPr>
        <w:t>9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ustawy z dnia 3 lipca 2002 r. – Prawo lotnicze (</w:t>
      </w:r>
      <w:r w:rsidR="008A2D46" w:rsidRPr="008A2D46">
        <w:rPr>
          <w:rFonts w:ascii="Times New Roman" w:eastAsia="Times New Roman" w:hAnsi="Times New Roman" w:cs="Arial"/>
          <w:sz w:val="24"/>
          <w:szCs w:val="24"/>
          <w:lang w:eastAsia="pl-PL"/>
        </w:rPr>
        <w:t>Dz. U. z 2023 r. poz. 2110</w:t>
      </w:r>
      <w:r w:rsidR="00075F7C">
        <w:rPr>
          <w:rFonts w:ascii="Times New Roman" w:eastAsia="Times New Roman" w:hAnsi="Times New Roman" w:cs="Arial"/>
          <w:sz w:val="24"/>
          <w:szCs w:val="24"/>
          <w:lang w:eastAsia="pl-PL"/>
        </w:rPr>
        <w:t>, z późn. zm.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), zwanej dalej „ustawą – Prawo lotnicze”, dodanego ustawą z dnia … 202</w:t>
      </w:r>
      <w:r w:rsidR="00D92CE0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o zmianie ustawy − Prawo lotnicze oraz niektórych innych ustaw (Dz. U. poz. …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3DD1A004" w14:textId="49557E43" w:rsidR="0030020D" w:rsidRPr="00E57CA9" w:rsidRDefault="00267359" w:rsidP="00F152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Przepis art. 156</w:t>
      </w:r>
      <w:r w:rsidR="0072748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g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ust. </w:t>
      </w:r>
      <w:r w:rsidR="00BC64F5">
        <w:rPr>
          <w:rFonts w:ascii="Times New Roman" w:eastAsia="Times New Roman" w:hAnsi="Times New Roman" w:cs="Arial"/>
          <w:sz w:val="24"/>
          <w:szCs w:val="24"/>
          <w:lang w:eastAsia="pl-PL"/>
        </w:rPr>
        <w:t>9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ustawy − Prawo lotnicze stanowi, że minister właściwy do spraw transportu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określi, w drodze rozporządzenia:</w:t>
      </w:r>
    </w:p>
    <w:p w14:paraId="2DF493AB" w14:textId="77777777" w:rsidR="00727481" w:rsidRPr="00E57CA9" w:rsidRDefault="00727481" w:rsidP="00EA1611">
      <w:pPr>
        <w:widowControl w:val="0"/>
        <w:autoSpaceDE w:val="0"/>
        <w:autoSpaceDN w:val="0"/>
        <w:adjustRightInd w:val="0"/>
        <w:spacing w:after="0" w:line="360" w:lineRule="auto"/>
        <w:ind w:left="283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1)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>warunki operacyjne wykonywania operacji z użyciem systemu bezzałogowego statku powietrznego w kategorii „otwartej”, o której mowa w art. 4 rozporządzenia nr 2019/947/UE,</w:t>
      </w:r>
    </w:p>
    <w:p w14:paraId="1AD1D546" w14:textId="22FE80DB" w:rsidR="00727481" w:rsidRPr="00E57CA9" w:rsidRDefault="00727481" w:rsidP="00EA1611">
      <w:pPr>
        <w:widowControl w:val="0"/>
        <w:autoSpaceDE w:val="0"/>
        <w:autoSpaceDN w:val="0"/>
        <w:adjustRightInd w:val="0"/>
        <w:spacing w:after="0" w:line="360" w:lineRule="auto"/>
        <w:ind w:left="283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2)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 xml:space="preserve">warunki operacyjne wykonywania operacji z użyciem systemu bezzałogowego statku powietrznego, warunki eksploatacji systemu bezzałogowego statku powietrznego </w:t>
      </w:r>
      <w:r w:rsidR="00EA1611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br/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i wymagania dla tego systemu, w kategorii „szczególnej”, o której mowa w art. 5 rozporządzenia nr 2019/947/UE,</w:t>
      </w:r>
    </w:p>
    <w:p w14:paraId="7EEFA336" w14:textId="77777777" w:rsidR="00F152B8" w:rsidRPr="00E57CA9" w:rsidRDefault="00727481" w:rsidP="00EA1611">
      <w:pPr>
        <w:widowControl w:val="0"/>
        <w:autoSpaceDE w:val="0"/>
        <w:autoSpaceDN w:val="0"/>
        <w:adjustRightInd w:val="0"/>
        <w:spacing w:after="0" w:line="360" w:lineRule="auto"/>
        <w:ind w:left="283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3)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>warunki operacyjne wykonywania operacji z użyciem systemu bezzałogowego statku powietrznego w kategorii „szczególnej”, o której mowa w art. 5 rozporządzenia nr 2019/947/UE, w ramach klubów lub stowarzyszeń modelarstwa lotniczego</w:t>
      </w:r>
    </w:p>
    <w:p w14:paraId="107C9E98" w14:textId="21FBE91D" w:rsidR="00EA1611" w:rsidRDefault="00F152B8" w:rsidP="00EA1611">
      <w:pPr>
        <w:widowControl w:val="0"/>
        <w:autoSpaceDE w:val="0"/>
        <w:autoSpaceDN w:val="0"/>
        <w:adjustRightInd w:val="0"/>
        <w:spacing w:after="0" w:line="360" w:lineRule="auto"/>
        <w:ind w:left="283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4)</w:t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ab/>
        <w:t xml:space="preserve">warunki operacyjne wykonywania operacji w zasięgu widoczności wzrokowej (VLOS) </w:t>
      </w:r>
      <w:r w:rsidR="00EA1611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br/>
      </w:r>
      <w:r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z użyciem systemu bezzałogowego statku </w:t>
      </w:r>
      <w:r w:rsidRPr="004C14B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powietrznego </w:t>
      </w:r>
      <w:r w:rsidR="004C14B9" w:rsidRPr="004C14B9">
        <w:rPr>
          <w:rFonts w:ascii="Times New Roman" w:hAnsi="Times New Roman" w:cs="Times New Roman"/>
          <w:sz w:val="24"/>
          <w:szCs w:val="24"/>
        </w:rPr>
        <w:t>Agencji Bezpieczeństwa Wewnętrznego, Agencji Wywiadu, Służby Kontrwywiadu Wojskowego, Służby Wywiadu Wojskowego, Żandarmerii Wojskowej, Centralnego Biura Antykorupcyjnego, Policji, Straży Granicznej, Państwowej Straży Pożarnej</w:t>
      </w:r>
      <w:r w:rsidR="00BD145C">
        <w:rPr>
          <w:rFonts w:ascii="Times New Roman" w:hAnsi="Times New Roman" w:cs="Times New Roman"/>
          <w:sz w:val="24"/>
          <w:szCs w:val="24"/>
        </w:rPr>
        <w:t xml:space="preserve">, </w:t>
      </w:r>
      <w:r w:rsidR="00BD145C" w:rsidRPr="004C14B9">
        <w:rPr>
          <w:rFonts w:ascii="Times New Roman" w:hAnsi="Times New Roman" w:cs="Times New Roman"/>
          <w:sz w:val="24"/>
          <w:szCs w:val="24"/>
        </w:rPr>
        <w:t>Służby Ochrony Państwa,</w:t>
      </w:r>
      <w:r w:rsidR="004C14B9" w:rsidRPr="004C14B9">
        <w:rPr>
          <w:rFonts w:ascii="Times New Roman" w:hAnsi="Times New Roman" w:cs="Times New Roman"/>
          <w:sz w:val="24"/>
          <w:szCs w:val="24"/>
        </w:rPr>
        <w:t xml:space="preserve">, </w:t>
      </w:r>
      <w:r w:rsidR="00D96FC7">
        <w:rPr>
          <w:rFonts w:ascii="Times New Roman" w:hAnsi="Times New Roman" w:cs="Times New Roman"/>
          <w:sz w:val="24"/>
          <w:szCs w:val="24"/>
        </w:rPr>
        <w:t xml:space="preserve">Krajowej Administracji </w:t>
      </w:r>
      <w:r w:rsidR="004C14B9" w:rsidRPr="004C14B9">
        <w:rPr>
          <w:rFonts w:ascii="Times New Roman" w:hAnsi="Times New Roman" w:cs="Times New Roman"/>
          <w:sz w:val="24"/>
          <w:szCs w:val="24"/>
        </w:rPr>
        <w:t>Skarbowej, Służby Więziennej, Państwowe</w:t>
      </w:r>
      <w:r w:rsidR="00CB13E8">
        <w:rPr>
          <w:rFonts w:ascii="Times New Roman" w:hAnsi="Times New Roman" w:cs="Times New Roman"/>
          <w:sz w:val="24"/>
          <w:szCs w:val="24"/>
        </w:rPr>
        <w:t>go Gospodarstwa</w:t>
      </w:r>
      <w:r w:rsidR="004C14B9" w:rsidRPr="004C14B9">
        <w:rPr>
          <w:rFonts w:ascii="Times New Roman" w:hAnsi="Times New Roman" w:cs="Times New Roman"/>
          <w:sz w:val="24"/>
          <w:szCs w:val="24"/>
        </w:rPr>
        <w:t xml:space="preserve"> Leśne</w:t>
      </w:r>
      <w:r w:rsidR="00CB13E8">
        <w:rPr>
          <w:rFonts w:ascii="Times New Roman" w:hAnsi="Times New Roman" w:cs="Times New Roman"/>
          <w:sz w:val="24"/>
          <w:szCs w:val="24"/>
        </w:rPr>
        <w:t>go</w:t>
      </w:r>
      <w:r w:rsidR="004C14B9" w:rsidRPr="004C14B9">
        <w:rPr>
          <w:rFonts w:ascii="Times New Roman" w:hAnsi="Times New Roman" w:cs="Times New Roman"/>
          <w:sz w:val="24"/>
          <w:szCs w:val="24"/>
        </w:rPr>
        <w:t xml:space="preserve"> Lasy Państwowe,</w:t>
      </w:r>
      <w:r w:rsidR="004C14B9" w:rsidRPr="004C14B9">
        <w:rPr>
          <w:sz w:val="24"/>
          <w:szCs w:val="24"/>
        </w:rPr>
        <w:t xml:space="preserve"> </w:t>
      </w:r>
      <w:r w:rsidR="00CB13E8" w:rsidRPr="004C14B9">
        <w:rPr>
          <w:rFonts w:ascii="Times New Roman" w:hAnsi="Times New Roman" w:cs="Times New Roman"/>
          <w:sz w:val="24"/>
          <w:szCs w:val="24"/>
        </w:rPr>
        <w:t>Inspekcji Ochrony Środowiska</w:t>
      </w:r>
      <w:r w:rsidR="00CB13E8">
        <w:rPr>
          <w:rFonts w:ascii="Times New Roman" w:hAnsi="Times New Roman" w:cs="Times New Roman"/>
          <w:sz w:val="24"/>
          <w:szCs w:val="24"/>
        </w:rPr>
        <w:t>, podmiotu uprawnionego do wykonywania ratownictwa wodnego, podmiotu uprawnionego do wykonywania ratownictwa górskiego lub operatora</w:t>
      </w:r>
      <w:r w:rsidR="004C14B9" w:rsidRPr="004C14B9">
        <w:rPr>
          <w:rFonts w:ascii="Times New Roman" w:hAnsi="Times New Roman" w:cs="Times New Roman"/>
          <w:sz w:val="24"/>
          <w:szCs w:val="24"/>
        </w:rPr>
        <w:t xml:space="preserve"> infrastruktury krytycznej lub</w:t>
      </w:r>
      <w:r w:rsidRPr="004C14B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;</w:t>
      </w:r>
    </w:p>
    <w:p w14:paraId="1EF38619" w14:textId="582AC2FE" w:rsidR="00BD145C" w:rsidRPr="00EA1611" w:rsidRDefault="00EA1611" w:rsidP="00EA1611">
      <w:pPr>
        <w:widowControl w:val="0"/>
        <w:autoSpaceDE w:val="0"/>
        <w:autoSpaceDN w:val="0"/>
        <w:adjustRightInd w:val="0"/>
        <w:spacing w:after="0" w:line="360" w:lineRule="auto"/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EA1611">
        <w:rPr>
          <w:rFonts w:ascii="Times New Roman" w:hAnsi="Times New Roman" w:cs="Times New Roman"/>
          <w:sz w:val="24"/>
          <w:szCs w:val="24"/>
        </w:rPr>
        <w:t>5)</w:t>
      </w:r>
      <w:r w:rsidRPr="00EA1611">
        <w:rPr>
          <w:rFonts w:ascii="Times New Roman" w:hAnsi="Times New Roman" w:cs="Times New Roman"/>
          <w:sz w:val="24"/>
          <w:szCs w:val="24"/>
        </w:rPr>
        <w:tab/>
      </w:r>
      <w:r w:rsidR="00F152B8" w:rsidRPr="00EA1611">
        <w:rPr>
          <w:rFonts w:ascii="Times New Roman" w:hAnsi="Times New Roman" w:cs="Times New Roman"/>
          <w:sz w:val="24"/>
          <w:szCs w:val="24"/>
        </w:rPr>
        <w:t xml:space="preserve">warunki operacyjne wykonywania operacji poza zasięgiem widoczności wzrokowej (BVLOS) z użyciem </w:t>
      </w:r>
      <w:r w:rsidR="00BD145C" w:rsidRPr="00EA1611">
        <w:rPr>
          <w:rFonts w:ascii="Times New Roman" w:hAnsi="Times New Roman" w:cs="Times New Roman"/>
          <w:sz w:val="24"/>
          <w:szCs w:val="24"/>
        </w:rPr>
        <w:t xml:space="preserve">Agencji Bezpieczeństwa Wewnętrznego, Agencji Wywiadu, Służby Kontrwywiadu Wojskowego, Służby Wywiadu Wojskowego, Centralnego Biura </w:t>
      </w:r>
      <w:r w:rsidR="00BD145C" w:rsidRPr="00EA1611">
        <w:rPr>
          <w:rFonts w:ascii="Times New Roman" w:hAnsi="Times New Roman" w:cs="Times New Roman"/>
          <w:sz w:val="24"/>
          <w:szCs w:val="24"/>
        </w:rPr>
        <w:lastRenderedPageBreak/>
        <w:t xml:space="preserve">Antykorupcyjnego Policji, Straży Granicznej, Państwowej Straży Pożarnej, </w:t>
      </w:r>
      <w:r w:rsidR="0089505E" w:rsidRPr="00EA1611">
        <w:rPr>
          <w:rFonts w:ascii="Times New Roman" w:hAnsi="Times New Roman" w:cs="Times New Roman"/>
          <w:sz w:val="24"/>
          <w:szCs w:val="24"/>
        </w:rPr>
        <w:t xml:space="preserve">Służby Ochrony Państwa, </w:t>
      </w:r>
      <w:r w:rsidR="00BD145C" w:rsidRPr="00EA1611">
        <w:rPr>
          <w:rFonts w:ascii="Times New Roman" w:hAnsi="Times New Roman" w:cs="Times New Roman"/>
          <w:sz w:val="24"/>
          <w:szCs w:val="24"/>
        </w:rPr>
        <w:t>Żandarmerii Wojskowej, Krajowej Administracji Skarbowej, Straży Leśnej, podmiotu uprawnionego do wykonywania ratownictwa wodnego i podmiotu uprawnionego do wykonywania ratownictwa górskiego</w:t>
      </w:r>
    </w:p>
    <w:p w14:paraId="4447F0D9" w14:textId="0736A02B" w:rsidR="00727481" w:rsidRPr="00E57CA9" w:rsidRDefault="00727481" w:rsidP="00617CE1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</w:p>
    <w:p w14:paraId="16EF93D8" w14:textId="2C40CBB3" w:rsidR="0030020D" w:rsidRPr="00E57CA9" w:rsidRDefault="0030020D" w:rsidP="003002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– uwzględniając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przepisy Unii Europejskiej,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zasady bezpiecznego korzystania z przestrzeni powietrznej, ochrony środowiska naturalnego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ochrony prywatności osób trzecich, a także uwzględniając podział na operacje wykonywane z użyciem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bezzałogowych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statków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powietrznych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kategorii „otwartej” oraz w kategorii „szczególnej”, w tym 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ramach klubów i stowarzyszeń modelarstwa lotniczego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z uwzględnieniem specyfiki operacji wykonywanych w związku z zapewnieniem bezpieczeństwa publicznego, bezpieczeństwa </w:t>
      </w:r>
      <w:r w:rsidR="00EA1611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i obronności państwa, ochroną granicy państwowej lub ochroną bezpieczeństwa wewnętrznego, a także przeciwdziałaniem przestępczości środowiskowej oraz prowadzeniem kontroli podmiotów zagrażających temu bezpieczeństwu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0007853D" w14:textId="42CE2909" w:rsidR="00267359" w:rsidRPr="00E57CA9" w:rsidRDefault="00B13B46" w:rsidP="00A11F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Nowy podział na kategorie operacji wykonywanych przy użyciu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bezzałogowych </w:t>
      </w:r>
      <w:r w:rsidR="00EB153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statków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powietrznych wynika z przepisów rozporządzenia wykonawczego Komisji (UE) nr 2019/947 z dnia 24 maja 2019 r. w sprawie przepisów i procedur dotyczących eksploatacji bezzałogowych statków powietrznych (Dz. Urz. UE L 152 z 11.06.2019, str. 45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, z późn. zm.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), </w:t>
      </w:r>
      <w:r w:rsidR="00675CE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zwanego dalej „rozporządzeniem wykonawczym”,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którego przepisy wymusiły także odpowiednią zmianę przepisów ustawy – Prawo lotnicze. Przedłożony projekt jest uzupełnieniem tych regulacji i dostosowuje przepisy prawa krajowego do wyżej wymienionego rozporządzenia Unii Europejskiej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z uwzględnieniem specyfiki operacji wykonywanych </w:t>
      </w:r>
      <w:r w:rsidR="00EA1611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w interesie publicznym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3B8F1861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7BA702F3" w14:textId="77777777" w:rsidR="00267359" w:rsidRPr="00E57CA9" w:rsidRDefault="00F136A2" w:rsidP="002673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Zakres regulacji</w:t>
      </w:r>
    </w:p>
    <w:p w14:paraId="51291737" w14:textId="77777777" w:rsidR="00267359" w:rsidRPr="00E57CA9" w:rsidRDefault="00267359" w:rsidP="002673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306C8B66" w14:textId="1B8BCD09" w:rsidR="00FF6301" w:rsidRPr="00E57CA9" w:rsidRDefault="00267359" w:rsidP="00F152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Zgodnie z art.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3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rozporządzenia wykonawczego,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operacje z użyciem 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systemu 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bezzałogowego </w:t>
      </w:r>
      <w:r w:rsidR="005308DF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statku</w:t>
      </w:r>
      <w:r w:rsidR="00B13B46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powietrznego mogą być wykonywane w trzech kategoriach. </w:t>
      </w:r>
      <w:r w:rsidR="00FF630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Przedłożony projekt dotyczy operacji wykonywanych w kategorii „otwartej” oraz w kategorii „szczególnej”</w:t>
      </w:r>
      <w:r w:rsidR="0002288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w tym </w:t>
      </w:r>
      <w:r w:rsidR="00EA1611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="0002288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w ramach klubów lub stowarzyszeń modelarstwa lotniczego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oraz operacji wykonywanych </w:t>
      </w:r>
      <w:r w:rsidR="00EA1611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w związku z zapewnieniem bezpieczeństwa publicznego, bezpieczeństwa i obronności państwa, ochroną granicy państwowej lub ochroną bezpieczeństwa wewnętrznego, a także przeciwdziałaniem przestępczości środowiskowej oraz prowadzeniem kontroli podmiotów zagrażających temu bezpieczeństwu</w:t>
      </w:r>
      <w:r w:rsidR="000457D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4F2C898B" w14:textId="77777777" w:rsidR="00F136A2" w:rsidRPr="00E57CA9" w:rsidRDefault="00FF6301" w:rsidP="00A11F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Określenie w rozporządzeniu tego typu regulacji wynika z konieczności szczegółowego określenia warunków wykonywania lotów z podziałem na powyżej wskazane kategorie (oraz rodzaje operacji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), jak również z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obszernoś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ci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tej re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gulacji. Regulacja ta stanowić będzie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to uszczegółowienie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uzupełnienie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zasad wykonywania operacji opisanych w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ustawie – Prawo lotnicze.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Nadmienić należy, że obecnie warunki wykonywania lotów bezzałogowym statkiem powietrznych </w:t>
      </w:r>
      <w:r w:rsidR="0002288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są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uregulowan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e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rozporządzeniu wydanym na podstawie art. 33 ust.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2 i 4 ustawy – Prawo lotnicze.</w:t>
      </w:r>
    </w:p>
    <w:p w14:paraId="7AA569E4" w14:textId="77777777" w:rsidR="00675CE2" w:rsidRPr="00E57CA9" w:rsidRDefault="00675CE2" w:rsidP="00A11F6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Przepis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727481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1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projektowanego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rozporządzenia określa zakres przedmiotowy rozporządzenia.</w:t>
      </w:r>
    </w:p>
    <w:p w14:paraId="36DC4C36" w14:textId="6E55821D" w:rsidR="00C6481A" w:rsidRPr="00E57CA9" w:rsidRDefault="00C6481A" w:rsidP="00F152B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Przepisy dedykowane poszczególnym kategoriom operacji </w:t>
      </w:r>
      <w:r w:rsidR="007A7A55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zostały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ujęt</w:t>
      </w:r>
      <w:r w:rsidR="007A7A55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0457D4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152B8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pięciu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osobnych </w:t>
      </w:r>
      <w:r w:rsidR="00F136A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załącznikach do rozporządzenia.</w:t>
      </w:r>
    </w:p>
    <w:p w14:paraId="3C647B2D" w14:textId="77777777" w:rsidR="00C6481A" w:rsidRPr="00E57CA9" w:rsidRDefault="00C6481A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 </w:t>
      </w:r>
      <w:r w:rsidR="00675CE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rozporządzenia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określa </w:t>
      </w:r>
      <w:r w:rsidR="00727481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operacyjne wykonywania operacji z użyciem systemu bezzałogowego statku powietrznego w kategorii „otwartej”, o której mowa w art. 4 rozporządzenia nr 2019/947/UE</w:t>
      </w:r>
      <w:r w:rsidR="00F136A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5D632BA" w14:textId="77777777" w:rsidR="00675CE2" w:rsidRPr="00E57CA9" w:rsidRDefault="00C6481A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2 </w:t>
      </w:r>
      <w:r w:rsidR="00675CE2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rozporządzenia </w:t>
      </w:r>
      <w:r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określa </w:t>
      </w:r>
      <w:r w:rsidR="00727481" w:rsidRPr="00E57CA9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operacyjne wykonywania operacji z użyciem systemu bezzałogowego statku powietrznego, warunki eksploatacji systemu bezzałogowego statku powietrznego i wymagania dla tego systemu, w kategorii „szczególnej”, o której mowa w art. 5 rozporządzenia nr 2019/947/UE</w:t>
      </w:r>
      <w:r w:rsidR="00675CE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3565116B" w14:textId="77777777" w:rsidR="00C6481A" w:rsidRPr="00E57CA9" w:rsidRDefault="00675CE2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bCs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Z</w:t>
      </w:r>
      <w:r w:rsidR="00C6481A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ałącznik nr 3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do rozporządzenia określa </w:t>
      </w:r>
      <w:r w:rsidR="00727481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warunki operacyjne wykonywania operacji z użyciem systemu bezzałogowego statku powietrznego w kategorii „szczególnej”, o której mowa w art. 5 rozporządzenia nr 2019/947/UE, w ramach klubów </w:t>
      </w:r>
      <w:r w:rsidR="007A7A55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lub</w:t>
      </w:r>
      <w:r w:rsidR="00727481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 xml:space="preserve"> stowarzyszeń modelarstwa lotniczego</w:t>
      </w:r>
      <w:r w:rsidR="00C6481A" w:rsidRPr="00E57CA9">
        <w:rPr>
          <w:rFonts w:ascii="Times New Roman" w:eastAsia="Times New Roman" w:hAnsi="Times New Roman" w:cs="Arial"/>
          <w:bCs/>
          <w:sz w:val="24"/>
          <w:szCs w:val="24"/>
          <w:lang w:eastAsia="pl-PL"/>
        </w:rPr>
        <w:t>.</w:t>
      </w:r>
    </w:p>
    <w:p w14:paraId="0159F57D" w14:textId="55AB4073" w:rsidR="00F152B8" w:rsidRPr="00D3646D" w:rsidRDefault="00F152B8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Załącznik nr 4 do rozporządzenia określa warunki operacyjne wykonywania operacji w zasięgu widoczności wzrokowej (VLOS) z użyciem systemu bezzałogowego statku powietrznego </w:t>
      </w:r>
      <w:r w:rsidR="004C14B9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Agencji Bezpieczeństwa Wewnętrznego, Agencji Wywiadu, Służby Kontrwywiadu Wojskowego, Służby Wywiadu Wojskowego, Żandarmerii Wojskowej, Centralnego Biura Antykorupcyjnego, Policji, Straży Granicznej, Państwowej Straży Pożarnej, </w:t>
      </w:r>
      <w:r w:rsidR="00BD145C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Służby Ochrony Państwa, </w:t>
      </w:r>
      <w:r w:rsidR="00D96FC7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Krajowej Administracji </w:t>
      </w:r>
      <w:r w:rsidR="004C14B9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>Skarbowej, Służby Więziennej, Państwowe</w:t>
      </w:r>
      <w:r w:rsidR="00A960A6">
        <w:rPr>
          <w:rFonts w:ascii="Times New Roman" w:eastAsia="Times New Roman" w:hAnsi="Times New Roman" w:cs="Arial"/>
          <w:sz w:val="24"/>
          <w:szCs w:val="24"/>
          <w:lang w:eastAsia="pl-PL"/>
        </w:rPr>
        <w:t>go Gospodarstwa</w:t>
      </w:r>
      <w:r w:rsidR="004C14B9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Leśne</w:t>
      </w:r>
      <w:r w:rsidR="00A960A6">
        <w:rPr>
          <w:rFonts w:ascii="Times New Roman" w:eastAsia="Times New Roman" w:hAnsi="Times New Roman" w:cs="Arial"/>
          <w:sz w:val="24"/>
          <w:szCs w:val="24"/>
          <w:lang w:eastAsia="pl-PL"/>
        </w:rPr>
        <w:t>go</w:t>
      </w:r>
      <w:r w:rsidR="004C14B9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Lasy Państwowe, </w:t>
      </w:r>
      <w:r w:rsidR="00A960A6" w:rsidRPr="004C14B9">
        <w:rPr>
          <w:rFonts w:ascii="Times New Roman" w:eastAsia="Times New Roman" w:hAnsi="Times New Roman" w:cs="Arial"/>
          <w:sz w:val="24"/>
          <w:szCs w:val="24"/>
          <w:lang w:eastAsia="pl-PL"/>
        </w:rPr>
        <w:t>Inspekcji Ochrony Środowiska</w:t>
      </w:r>
      <w:r w:rsidR="00A960A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</w:t>
      </w:r>
      <w:r w:rsidR="00A960A6" w:rsidRPr="00A960A6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podmiotu uprawnionego do wykonywania ratownictwa wodnego, podmiotu uprawnionego do </w:t>
      </w:r>
      <w:r w:rsidR="00A960A6" w:rsidRPr="00D3646D">
        <w:rPr>
          <w:rFonts w:ascii="Times New Roman" w:eastAsia="Times New Roman" w:hAnsi="Times New Roman" w:cs="Arial"/>
          <w:sz w:val="24"/>
          <w:szCs w:val="24"/>
          <w:lang w:eastAsia="pl-PL"/>
        </w:rPr>
        <w:t>wykonywania ratownictwa górskiego lub operatora infrastruktury krytycznej</w:t>
      </w:r>
      <w:r w:rsidRPr="00D3646D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14:paraId="019FCD29" w14:textId="34CB809D" w:rsidR="00D3646D" w:rsidRPr="0089505E" w:rsidRDefault="00F152B8" w:rsidP="0089505E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89505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Załącznik nr 5 do rozporządzenia określa </w:t>
      </w:r>
      <w:r w:rsidR="0089505E" w:rsidRPr="0089505E">
        <w:rPr>
          <w:rFonts w:ascii="Times New Roman" w:eastAsia="Times New Roman" w:hAnsi="Times New Roman"/>
          <w:sz w:val="24"/>
          <w:szCs w:val="24"/>
        </w:rPr>
        <w:t>wa</w:t>
      </w:r>
      <w:r w:rsidRPr="0089505E">
        <w:rPr>
          <w:rFonts w:ascii="Times New Roman" w:eastAsia="Times New Roman" w:hAnsi="Times New Roman"/>
          <w:sz w:val="24"/>
          <w:szCs w:val="24"/>
        </w:rPr>
        <w:t>runki operacyjne wykonywania operacji poza</w:t>
      </w:r>
      <w:r w:rsidR="00D3646D" w:rsidRPr="0089505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9505E">
        <w:rPr>
          <w:rFonts w:ascii="Times New Roman" w:eastAsia="Times New Roman" w:hAnsi="Times New Roman" w:cs="Times New Roman"/>
          <w:sz w:val="24"/>
          <w:szCs w:val="24"/>
        </w:rPr>
        <w:t>zasięgiem widoczności wzrokowej (BVLOS) z użyciem systemu bezzałogowego statku powietrznego</w:t>
      </w:r>
      <w:r w:rsidR="004C14B9" w:rsidRPr="00895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646D" w:rsidRPr="0089505E">
        <w:rPr>
          <w:rFonts w:ascii="Times New Roman" w:hAnsi="Times New Roman" w:cs="Times New Roman"/>
          <w:sz w:val="24"/>
          <w:szCs w:val="24"/>
        </w:rPr>
        <w:t xml:space="preserve">Agencji Bezpieczeństwa Wewnętrznego, Agencji Wywiadu, Służby Kontrwywiadu Wojskowego, Służby Wywiadu Wojskowego, Centralnego Biura </w:t>
      </w:r>
      <w:r w:rsidR="00D3646D" w:rsidRPr="0089505E">
        <w:rPr>
          <w:rFonts w:ascii="Times New Roman" w:hAnsi="Times New Roman" w:cs="Times New Roman"/>
          <w:sz w:val="24"/>
          <w:szCs w:val="24"/>
        </w:rPr>
        <w:lastRenderedPageBreak/>
        <w:t xml:space="preserve">Antykorupcyjnego Policji, Straży Granicznej, Państwowej Straży Pożarnej, </w:t>
      </w:r>
      <w:r w:rsidR="0089505E">
        <w:rPr>
          <w:rFonts w:ascii="Times New Roman" w:hAnsi="Times New Roman" w:cs="Times New Roman"/>
          <w:sz w:val="24"/>
          <w:szCs w:val="24"/>
        </w:rPr>
        <w:t xml:space="preserve">Służby Ochrony Państwa, </w:t>
      </w:r>
      <w:r w:rsidR="00D3646D" w:rsidRPr="0089505E">
        <w:rPr>
          <w:rFonts w:ascii="Times New Roman" w:hAnsi="Times New Roman" w:cs="Times New Roman"/>
          <w:sz w:val="24"/>
          <w:szCs w:val="24"/>
        </w:rPr>
        <w:t>Żandarmerii Wojskowej, Krajowej Administracji Skarbowej, Straży Leśnej, podmiotu uprawnionego do wykonywania ratownictwa wodnego i podmiotu uprawnionego do wykonywania ratownictwa górskiego.</w:t>
      </w:r>
    </w:p>
    <w:p w14:paraId="65A97B0A" w14:textId="77777777" w:rsidR="0030020D" w:rsidRPr="00E57CA9" w:rsidRDefault="00675CE2" w:rsidP="00A11F61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załącznikach do rozporządzenia 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wprowadza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się wyjaśnienie skrótów i określeń w nich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używan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ych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. Poza określeniami wynikającymi z przepisów rozporządzenia wykonawczego oraz ustawy – Prawo lotnicze</w:t>
      </w:r>
      <w:r w:rsidR="007A7A55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="0030020D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są to określenia dotychczas używane w przepisach krajowych regulujących szczegółowy sposób wykonywania operacji bezzałogowymi statkami powietrznymi oraz warunki eksploatacji bezzałogowych statków powietrznych tj. w załącznikach nr 6–6b do rozporządzenia Ministra Transportu i Gospodarki Morskiej z dnia 26 marca 2013 r. w sprawie wyłączenia zastosowania niektórych przepisów ustawy – Prawo lotnicze do niektórych rodzajów statków powietrznych oraz określenia warunków i wymagań dotyczących używania tych statków (Dz. U. z 2019 r. poz. 1497), wydanego na podstawie art. 33 ust. 2 i 4 ustawy – Praw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o lotnicze.</w:t>
      </w:r>
    </w:p>
    <w:p w14:paraId="31E21ECD" w14:textId="43E7DA1C" w:rsidR="00CF7FDB" w:rsidRPr="00E57CA9" w:rsidRDefault="00CF7FDB" w:rsidP="00F152B8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§ </w:t>
      </w:r>
      <w:r w:rsidR="00F152B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7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projektu przewidziano, że rozporządzenie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wejdzie w życie z w dniu następującym po dniu ogłoszenia. W związku z rozpoczęciem stosowania od dnia 31 grudnia 2020 r. przepisów r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ozporządzenia wykonawczego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dniu 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30 grudnia 2020 r. zostały wydane wytyczne Prezesa Urzędu Lotnictwa Cywilnego zalecające wykonywanie operacji w określony w nich sposób. Jednocześnie </w:t>
      </w:r>
      <w:r w:rsidR="008A38C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wskazane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rozporządzeniu regulacje nie są zupełnie nowymi rozwiązaniami dla operatorów systemów bezzałogowych</w:t>
      </w:r>
      <w:r w:rsidR="008A38C8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statków powietrznych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– bowiem są one podobne do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rozwiązań uprzednio 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stosow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anych, ujętych w przepisach wydanych</w:t>
      </w:r>
      <w:r w:rsidR="00C80D64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na podstawie art. 33 ust.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2 i 4 ustawy – Prawo lotnicze.</w:t>
      </w:r>
    </w:p>
    <w:p w14:paraId="4AC47517" w14:textId="410DF1C1" w:rsidR="00C6481A" w:rsidRDefault="008D28BB" w:rsidP="008D28B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>Nie ma możliwości osiągnięcia celu projektu za pomocą innych środ</w:t>
      </w:r>
      <w:r w:rsidR="00D92CE0">
        <w:rPr>
          <w:rFonts w:ascii="Times New Roman" w:eastAsia="Times New Roman" w:hAnsi="Times New Roman" w:cs="Arial"/>
          <w:sz w:val="24"/>
          <w:szCs w:val="24"/>
          <w:lang w:eastAsia="pl-PL"/>
        </w:rPr>
        <w:t>ków niż wydanie rozporządzenia.</w:t>
      </w:r>
    </w:p>
    <w:p w14:paraId="4F004637" w14:textId="77777777" w:rsidR="00D92CE0" w:rsidRPr="00E57CA9" w:rsidRDefault="00D92CE0" w:rsidP="008D28B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6DCCCC4B" w14:textId="5E06B452" w:rsidR="00267359" w:rsidRPr="00E57CA9" w:rsidRDefault="00267359" w:rsidP="0026735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Informacje zw</w:t>
      </w:r>
      <w:r w:rsidR="00D92CE0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iązane z procedowaniem projektu</w:t>
      </w:r>
    </w:p>
    <w:p w14:paraId="26209C98" w14:textId="6474BB27" w:rsidR="00C80D64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Regulacje zawarte w projektowanym rozporządzeniu nie stanowią przepisów technicznych </w:t>
      </w:r>
      <w:r w:rsidR="00EA1611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rozumieniu rozporządzenia Rady Ministrów z dnia 23 grudnia 2002 r. w sprawie sposobu funkcjonowania krajowego systemu notyfikacji norm i aktów prawnych (Dz. U. poz. 2039, </w:t>
      </w:r>
      <w:r w:rsidR="00EA1611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z późn. zm.), zatem nie podlega ona notyfikacji.</w:t>
      </w:r>
    </w:p>
    <w:p w14:paraId="4C244AE2" w14:textId="1DAB9B97" w:rsidR="00C80D64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nie wymaga przedłożenia właściwym organom </w:t>
      </w:r>
      <w:r w:rsidR="00E57CA9">
        <w:rPr>
          <w:rFonts w:ascii="Times New Roman" w:eastAsia="Times New Roman" w:hAnsi="Times New Roman" w:cs="Arial"/>
          <w:sz w:val="24"/>
          <w:szCs w:val="24"/>
          <w:lang w:eastAsia="pl-PL"/>
        </w:rPr>
        <w:t>i instytucjom</w:t>
      </w:r>
      <w:r w:rsidR="00E57CA9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Unii Europejskiej</w:t>
      </w:r>
      <w:r w:rsid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w tym 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Europejskiemu Bankowi Centralnemu</w:t>
      </w:r>
      <w:r w:rsidR="00E57CA9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celu uzyskania opinii, dokonania konsultacji lub uzgodnienia, o których mowa w § 27 ust. 4 uchwały nr 190 Rady Ministrów z dnia 29 października 2013 r. – Regulamin </w:t>
      </w:r>
      <w:r w:rsidR="00D92CE0">
        <w:rPr>
          <w:rFonts w:ascii="Times New Roman" w:eastAsia="Times New Roman" w:hAnsi="Times New Roman" w:cs="Arial"/>
          <w:sz w:val="24"/>
          <w:szCs w:val="24"/>
          <w:lang w:eastAsia="pl-PL"/>
        </w:rPr>
        <w:t>pracy Rady Ministrów (M.</w:t>
      </w:r>
      <w:r w:rsidR="005A1113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P. 202</w:t>
      </w:r>
      <w:r w:rsidR="00D92CE0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D92CE0">
        <w:rPr>
          <w:rFonts w:ascii="Times New Roman" w:eastAsia="Times New Roman" w:hAnsi="Times New Roman" w:cs="Arial"/>
          <w:sz w:val="24"/>
          <w:szCs w:val="24"/>
          <w:lang w:eastAsia="pl-PL"/>
        </w:rPr>
        <w:t>806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14:paraId="2759ADE0" w14:textId="1A17C344" w:rsidR="00C80D64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 xml:space="preserve">Zgodnie z art. 5 ustawy z dnia 7 lipca 2005 r. o działalności lobbingowej w procesie stanowienia prawa (Dz. U. z 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2017 r. poz. 248) oraz s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tosownie do § 52 uchwały nr 190 Rady Ministrów </w:t>
      </w:r>
      <w:r w:rsidR="00EA1611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z dnia 29 października 2013 r. – Regulamin pracy Rady Ministrów</w:t>
      </w:r>
      <w:r w:rsidR="00F136A2"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projekt rozporządzenia zostanie udostępniony w Biuletynie Informacji Publicznej na stronie podmiotowej Rządowego Centrum Legislacji, w serwisie Rządowy Proces Legislacyjny.</w:t>
      </w:r>
    </w:p>
    <w:p w14:paraId="367021D3" w14:textId="77777777" w:rsidR="00267359" w:rsidRPr="00E57CA9" w:rsidRDefault="00C80D64" w:rsidP="00C80D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E57CA9">
        <w:rPr>
          <w:rFonts w:ascii="Times New Roman" w:eastAsia="Times New Roman" w:hAnsi="Times New Roman" w:cs="Arial"/>
          <w:sz w:val="24"/>
          <w:szCs w:val="24"/>
          <w:lang w:eastAsia="pl-PL"/>
        </w:rPr>
        <w:t>Projekt rozporządzenia jest zgodny z prawem Unii Europejskiej.</w:t>
      </w:r>
    </w:p>
    <w:sectPr w:rsidR="00267359" w:rsidRPr="00E57CA9" w:rsidSect="0087550B">
      <w:headerReference w:type="default" r:id="rId7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296D6" w14:textId="77777777" w:rsidR="00F4790A" w:rsidRDefault="00F4790A">
      <w:pPr>
        <w:spacing w:after="0" w:line="240" w:lineRule="auto"/>
      </w:pPr>
      <w:r>
        <w:separator/>
      </w:r>
    </w:p>
  </w:endnote>
  <w:endnote w:type="continuationSeparator" w:id="0">
    <w:p w14:paraId="48EC0015" w14:textId="77777777" w:rsidR="00F4790A" w:rsidRDefault="00F47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4E933" w14:textId="77777777" w:rsidR="00F4790A" w:rsidRDefault="00F4790A">
      <w:pPr>
        <w:spacing w:after="0" w:line="240" w:lineRule="auto"/>
      </w:pPr>
      <w:r>
        <w:separator/>
      </w:r>
    </w:p>
  </w:footnote>
  <w:footnote w:type="continuationSeparator" w:id="0">
    <w:p w14:paraId="0A6C7994" w14:textId="77777777" w:rsidR="00F4790A" w:rsidRDefault="00F47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691D0" w14:textId="3223B35F" w:rsidR="001A3215" w:rsidRPr="00B371CC" w:rsidRDefault="00C6481A" w:rsidP="001A3215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C368EC">
      <w:rPr>
        <w:noProof/>
      </w:rPr>
      <w:t>5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6525"/>
    <w:multiLevelType w:val="hybridMultilevel"/>
    <w:tmpl w:val="147418D0"/>
    <w:lvl w:ilvl="0" w:tplc="1ECCD4F4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033CCC"/>
    <w:multiLevelType w:val="hybridMultilevel"/>
    <w:tmpl w:val="38E89C78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359"/>
    <w:rsid w:val="00022885"/>
    <w:rsid w:val="00024FB4"/>
    <w:rsid w:val="000271D1"/>
    <w:rsid w:val="00035336"/>
    <w:rsid w:val="000457D4"/>
    <w:rsid w:val="00050034"/>
    <w:rsid w:val="00075F7C"/>
    <w:rsid w:val="000B1899"/>
    <w:rsid w:val="000F3EF2"/>
    <w:rsid w:val="00100B45"/>
    <w:rsid w:val="00147F1F"/>
    <w:rsid w:val="001678F0"/>
    <w:rsid w:val="00190299"/>
    <w:rsid w:val="001B44D1"/>
    <w:rsid w:val="001C6851"/>
    <w:rsid w:val="001D5FAC"/>
    <w:rsid w:val="001F336D"/>
    <w:rsid w:val="001F3425"/>
    <w:rsid w:val="00267359"/>
    <w:rsid w:val="002B5951"/>
    <w:rsid w:val="002F0FA3"/>
    <w:rsid w:val="0030020D"/>
    <w:rsid w:val="003117EF"/>
    <w:rsid w:val="003336E0"/>
    <w:rsid w:val="00345EA9"/>
    <w:rsid w:val="00366BE6"/>
    <w:rsid w:val="003C5C9C"/>
    <w:rsid w:val="003D12AC"/>
    <w:rsid w:val="003E1A96"/>
    <w:rsid w:val="00416E0F"/>
    <w:rsid w:val="004754B7"/>
    <w:rsid w:val="004B5FD5"/>
    <w:rsid w:val="004C14B9"/>
    <w:rsid w:val="004D0125"/>
    <w:rsid w:val="004D5453"/>
    <w:rsid w:val="005308DF"/>
    <w:rsid w:val="00537ACC"/>
    <w:rsid w:val="005938B1"/>
    <w:rsid w:val="005A1113"/>
    <w:rsid w:val="005C3ED2"/>
    <w:rsid w:val="006103B6"/>
    <w:rsid w:val="00617CE1"/>
    <w:rsid w:val="006565A6"/>
    <w:rsid w:val="00675CE2"/>
    <w:rsid w:val="00690C02"/>
    <w:rsid w:val="00696690"/>
    <w:rsid w:val="006F2536"/>
    <w:rsid w:val="006F5091"/>
    <w:rsid w:val="00704A82"/>
    <w:rsid w:val="007079EE"/>
    <w:rsid w:val="00721ABB"/>
    <w:rsid w:val="00722782"/>
    <w:rsid w:val="00727481"/>
    <w:rsid w:val="00760F38"/>
    <w:rsid w:val="007A7A55"/>
    <w:rsid w:val="007E774B"/>
    <w:rsid w:val="007F14FC"/>
    <w:rsid w:val="00801D6F"/>
    <w:rsid w:val="00867D35"/>
    <w:rsid w:val="00870E48"/>
    <w:rsid w:val="0089505E"/>
    <w:rsid w:val="0089613D"/>
    <w:rsid w:val="008A2D46"/>
    <w:rsid w:val="008A38C8"/>
    <w:rsid w:val="008C27E9"/>
    <w:rsid w:val="008D28BB"/>
    <w:rsid w:val="008E0872"/>
    <w:rsid w:val="0090242A"/>
    <w:rsid w:val="00937B3D"/>
    <w:rsid w:val="00942CFB"/>
    <w:rsid w:val="00A04959"/>
    <w:rsid w:val="00A11F61"/>
    <w:rsid w:val="00A60EB5"/>
    <w:rsid w:val="00A63DFB"/>
    <w:rsid w:val="00A95584"/>
    <w:rsid w:val="00A960A6"/>
    <w:rsid w:val="00AE0AEE"/>
    <w:rsid w:val="00AE7ACD"/>
    <w:rsid w:val="00B041B5"/>
    <w:rsid w:val="00B13B46"/>
    <w:rsid w:val="00B26C2D"/>
    <w:rsid w:val="00B77C70"/>
    <w:rsid w:val="00BC64F5"/>
    <w:rsid w:val="00BD0944"/>
    <w:rsid w:val="00BD145C"/>
    <w:rsid w:val="00C10DD6"/>
    <w:rsid w:val="00C368EC"/>
    <w:rsid w:val="00C6481A"/>
    <w:rsid w:val="00C80D64"/>
    <w:rsid w:val="00C96079"/>
    <w:rsid w:val="00CB13E8"/>
    <w:rsid w:val="00CF7FDB"/>
    <w:rsid w:val="00D25603"/>
    <w:rsid w:val="00D3646D"/>
    <w:rsid w:val="00D47DC1"/>
    <w:rsid w:val="00D92CE0"/>
    <w:rsid w:val="00D9309B"/>
    <w:rsid w:val="00D96FC7"/>
    <w:rsid w:val="00DD2ED3"/>
    <w:rsid w:val="00DD4A12"/>
    <w:rsid w:val="00DD6A6C"/>
    <w:rsid w:val="00DF18CB"/>
    <w:rsid w:val="00DF4DC6"/>
    <w:rsid w:val="00E540ED"/>
    <w:rsid w:val="00E57CA9"/>
    <w:rsid w:val="00EA1611"/>
    <w:rsid w:val="00EB1534"/>
    <w:rsid w:val="00ED4CA3"/>
    <w:rsid w:val="00EE2289"/>
    <w:rsid w:val="00F136A2"/>
    <w:rsid w:val="00F152B8"/>
    <w:rsid w:val="00F4790A"/>
    <w:rsid w:val="00F569E2"/>
    <w:rsid w:val="00F811D6"/>
    <w:rsid w:val="00FF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861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3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7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359"/>
  </w:style>
  <w:style w:type="paragraph" w:styleId="Akapitzlist">
    <w:name w:val="List Paragraph"/>
    <w:basedOn w:val="Normalny"/>
    <w:uiPriority w:val="34"/>
    <w:qFormat/>
    <w:rsid w:val="00267359"/>
    <w:pPr>
      <w:ind w:left="720"/>
      <w:contextualSpacing/>
    </w:pPr>
  </w:style>
  <w:style w:type="paragraph" w:customStyle="1" w:styleId="PKTpunkt">
    <w:name w:val="PKT – punkt"/>
    <w:uiPriority w:val="13"/>
    <w:qFormat/>
    <w:rsid w:val="00675CE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2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7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7C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7C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7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7CE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27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1455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2024-06-06T21:16:00Z</dcterms:created>
  <dcterms:modified xsi:type="dcterms:W3CDTF">2024-10-14T18:24:00Z</dcterms:modified>
</cp:coreProperties>
</file>